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1" w:firstLineChars="200"/>
        <w:jc w:val="center"/>
        <w:rPr>
          <w:rFonts w:ascii="微软雅黑" w:hAnsi="微软雅黑" w:eastAsia="微软雅黑" w:cs="Arial"/>
          <w:color w:val="FF0000"/>
          <w:kern w:val="0"/>
          <w:sz w:val="28"/>
          <w:szCs w:val="28"/>
          <w:highlight w:val="yellow"/>
        </w:rPr>
      </w:pPr>
      <w:r>
        <w:rPr>
          <w:rFonts w:hint="eastAsia" w:ascii="微软雅黑" w:hAnsi="微软雅黑" w:eastAsia="微软雅黑" w:cs="宋体"/>
          <w:b/>
          <w:bCs/>
          <w:color w:val="000000"/>
          <w:kern w:val="0"/>
          <w:sz w:val="32"/>
          <w:szCs w:val="32"/>
        </w:rPr>
        <w:t>招标信息公告</w:t>
      </w:r>
    </w:p>
    <w:p>
      <w:pPr>
        <w:widowControl/>
        <w:spacing w:line="360" w:lineRule="exact"/>
        <w:ind w:firstLine="480" w:firstLineChars="200"/>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themeColor="text1"/>
          <w:kern w:val="0"/>
          <w:sz w:val="24"/>
          <w:szCs w:val="24"/>
          <w14:textFill>
            <w14:solidFill>
              <w14:schemeClr w14:val="tx1"/>
            </w14:solidFill>
          </w14:textFill>
        </w:rPr>
        <w:t>河南统一有限公司针对</w:t>
      </w:r>
      <w:r>
        <w:rPr>
          <w:rFonts w:ascii="微软雅黑" w:hAnsi="微软雅黑" w:eastAsia="微软雅黑" w:cs="Arial"/>
          <w:color w:val="000000" w:themeColor="text1"/>
          <w:kern w:val="0"/>
          <w:sz w:val="24"/>
          <w:szCs w:val="24"/>
          <w14:textFill>
            <w14:solidFill>
              <w14:schemeClr w14:val="tx1"/>
            </w14:solidFill>
          </w14:textFill>
        </w:rPr>
        <w:t>2023</w:t>
      </w:r>
      <w:r>
        <w:rPr>
          <w:rFonts w:hint="eastAsia" w:ascii="微软雅黑" w:hAnsi="微软雅黑" w:eastAsia="微软雅黑" w:cs="Arial"/>
          <w:color w:val="000000" w:themeColor="text1"/>
          <w:kern w:val="0"/>
          <w:sz w:val="24"/>
          <w:szCs w:val="24"/>
          <w14:textFill>
            <w14:solidFill>
              <w14:schemeClr w14:val="tx1"/>
            </w14:solidFill>
          </w14:textFill>
        </w:rPr>
        <w:t>年-</w:t>
      </w:r>
      <w:r>
        <w:rPr>
          <w:rFonts w:ascii="微软雅黑" w:hAnsi="微软雅黑" w:eastAsia="微软雅黑" w:cs="Arial"/>
          <w:color w:val="000000" w:themeColor="text1"/>
          <w:kern w:val="0"/>
          <w:sz w:val="24"/>
          <w:szCs w:val="24"/>
          <w14:textFill>
            <w14:solidFill>
              <w14:schemeClr w14:val="tx1"/>
            </w14:solidFill>
          </w14:textFill>
        </w:rPr>
        <w:t>2025</w:t>
      </w:r>
      <w:r>
        <w:rPr>
          <w:rFonts w:hint="eastAsia" w:ascii="微软雅黑" w:hAnsi="微软雅黑" w:eastAsia="微软雅黑" w:cs="Arial"/>
          <w:color w:val="000000" w:themeColor="text1"/>
          <w:kern w:val="0"/>
          <w:sz w:val="24"/>
          <w:szCs w:val="24"/>
          <w14:textFill>
            <w14:solidFill>
              <w14:schemeClr w14:val="tx1"/>
            </w14:solidFill>
          </w14:textFill>
        </w:rPr>
        <w:t>年度</w:t>
      </w:r>
      <w:r>
        <w:rPr>
          <w:rFonts w:hint="eastAsia" w:ascii="微软雅黑" w:hAnsi="微软雅黑" w:eastAsia="微软雅黑" w:cs="Arial"/>
          <w:b/>
          <w:color w:val="000000" w:themeColor="text1"/>
          <w:kern w:val="0"/>
          <w:sz w:val="24"/>
          <w:szCs w:val="24"/>
          <w14:textFill>
            <w14:solidFill>
              <w14:schemeClr w14:val="tx1"/>
            </w14:solidFill>
          </w14:textFill>
        </w:rPr>
        <w:t>食堂外包服务项目</w:t>
      </w:r>
      <w:r>
        <w:rPr>
          <w:rFonts w:hint="eastAsia" w:ascii="微软雅黑" w:hAnsi="微软雅黑" w:eastAsia="微软雅黑" w:cs="Arial"/>
          <w:color w:val="000000" w:themeColor="text1"/>
          <w:kern w:val="0"/>
          <w:sz w:val="24"/>
          <w:szCs w:val="24"/>
          <w14:textFill>
            <w14:solidFill>
              <w14:schemeClr w14:val="tx1"/>
            </w14:solidFill>
          </w14:textFill>
        </w:rPr>
        <w:t>招标，公开征集符合如下要求的服务商伙伴：</w:t>
      </w:r>
    </w:p>
    <w:p>
      <w:pPr>
        <w:widowControl/>
        <w:spacing w:line="360" w:lineRule="exact"/>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themeColor="text1"/>
          <w:kern w:val="0"/>
          <w:sz w:val="24"/>
          <w:szCs w:val="24"/>
          <w14:textFill>
            <w14:solidFill>
              <w14:schemeClr w14:val="tx1"/>
            </w14:solidFill>
          </w14:textFill>
        </w:rPr>
        <w:t>1、项目概述：</w:t>
      </w:r>
    </w:p>
    <w:p>
      <w:pPr>
        <w:widowControl/>
        <w:shd w:val="clear" w:color="auto" w:fill="FFFFFF"/>
        <w:ind w:left="1556" w:leftChars="202" w:hanging="1132" w:hangingChars="472"/>
        <w:jc w:val="left"/>
        <w:rPr>
          <w:rFonts w:ascii="微软雅黑" w:hAnsi="微软雅黑" w:eastAsia="微软雅黑" w:cs="Arial"/>
          <w:color w:val="000000" w:themeColor="text1"/>
          <w:kern w:val="0"/>
          <w:sz w:val="24"/>
          <w:szCs w:val="24"/>
          <w14:textFill>
            <w14:solidFill>
              <w14:schemeClr w14:val="tx1"/>
            </w14:solidFill>
          </w14:textFill>
        </w:rPr>
      </w:pPr>
      <w:r>
        <w:rPr>
          <w:rFonts w:ascii="微软雅黑" w:hAnsi="微软雅黑" w:eastAsia="微软雅黑" w:cs="Arial"/>
          <w:color w:val="000000" w:themeColor="text1"/>
          <w:kern w:val="0"/>
          <w:sz w:val="24"/>
          <w:szCs w:val="24"/>
          <w14:textFill>
            <w14:solidFill>
              <w14:schemeClr w14:val="tx1"/>
            </w14:solidFill>
          </w14:textFill>
        </w:rPr>
        <w:t>合</w:t>
      </w:r>
      <w:r>
        <w:rPr>
          <w:rFonts w:hint="eastAsia" w:ascii="微软雅黑" w:hAnsi="微软雅黑" w:eastAsia="微软雅黑" w:cs="Arial"/>
          <w:color w:val="000000" w:themeColor="text1"/>
          <w:kern w:val="0"/>
          <w:sz w:val="24"/>
          <w:szCs w:val="24"/>
          <w14:textFill>
            <w14:solidFill>
              <w14:schemeClr w14:val="tx1"/>
            </w14:solidFill>
          </w14:textFill>
        </w:rPr>
        <w:t>同</w:t>
      </w:r>
      <w:r>
        <w:rPr>
          <w:rFonts w:ascii="微软雅黑" w:hAnsi="微软雅黑" w:eastAsia="微软雅黑" w:cs="Arial"/>
          <w:color w:val="000000" w:themeColor="text1"/>
          <w:kern w:val="0"/>
          <w:sz w:val="24"/>
          <w:szCs w:val="24"/>
          <w14:textFill>
            <w14:solidFill>
              <w14:schemeClr w14:val="tx1"/>
            </w14:solidFill>
          </w14:textFill>
        </w:rPr>
        <w:t>时间：2023年07月16日至2025年06月30日</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项目地点：河南省漯河市（河南统一）</w:t>
      </w:r>
    </w:p>
    <w:p>
      <w:pPr>
        <w:widowControl/>
        <w:shd w:val="clear" w:color="auto" w:fill="FFFFFF"/>
        <w:ind w:firstLine="424" w:firstLineChars="177"/>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项目范围：企业职工食堂供餐服务</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left="1556" w:leftChars="202" w:hanging="1132" w:hangingChars="472"/>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sz w:val="24"/>
          <w:szCs w:val="24"/>
          <w:shd w:val="clear" w:color="auto" w:fill="FFFFFF"/>
        </w:rPr>
        <w:t>(1)、食堂面积：</w:t>
      </w:r>
      <w:r>
        <w:rPr>
          <w:rFonts w:ascii="微软雅黑" w:hAnsi="微软雅黑" w:eastAsia="微软雅黑"/>
          <w:color w:val="000000" w:themeColor="text1"/>
          <w:sz w:val="24"/>
          <w:szCs w:val="24"/>
          <w:shd w:val="clear" w:color="auto" w:fill="FFFFFF"/>
          <w14:textFill>
            <w14:solidFill>
              <w14:schemeClr w14:val="tx1"/>
            </w14:solidFill>
          </w14:textFill>
        </w:rPr>
        <w:t>330</w:t>
      </w:r>
      <w:r>
        <w:rPr>
          <w:rFonts w:hint="eastAsia" w:ascii="微软雅黑" w:hAnsi="微软雅黑" w:eastAsia="微软雅黑"/>
          <w:color w:val="000000" w:themeColor="text1"/>
          <w:sz w:val="24"/>
          <w:szCs w:val="24"/>
          <w:shd w:val="clear" w:color="auto" w:fill="FFFFFF"/>
          <w14:textFill>
            <w14:solidFill>
              <w14:schemeClr w14:val="tx1"/>
            </w14:solidFill>
          </w14:textFill>
        </w:rPr>
        <w:t>平方米（厨房）、</w:t>
      </w:r>
      <w:r>
        <w:rPr>
          <w:rFonts w:ascii="微软雅黑" w:hAnsi="微软雅黑" w:eastAsia="微软雅黑"/>
          <w:color w:val="000000" w:themeColor="text1"/>
          <w:sz w:val="24"/>
          <w:szCs w:val="24"/>
          <w:shd w:val="clear" w:color="auto" w:fill="FFFFFF"/>
          <w14:textFill>
            <w14:solidFill>
              <w14:schemeClr w14:val="tx1"/>
            </w14:solidFill>
          </w14:textFill>
        </w:rPr>
        <w:t>590</w:t>
      </w:r>
      <w:r>
        <w:rPr>
          <w:rFonts w:hint="eastAsia" w:ascii="微软雅黑" w:hAnsi="微软雅黑" w:eastAsia="微软雅黑"/>
          <w:color w:val="000000" w:themeColor="text1"/>
          <w:sz w:val="24"/>
          <w:szCs w:val="24"/>
          <w:shd w:val="clear" w:color="auto" w:fill="FFFFFF"/>
          <w14:textFill>
            <w14:solidFill>
              <w14:schemeClr w14:val="tx1"/>
            </w14:solidFill>
          </w14:textFill>
        </w:rPr>
        <w:t>平方米（就餐大厅）。</w:t>
      </w:r>
    </w:p>
    <w:p>
      <w:pPr>
        <w:widowControl/>
        <w:shd w:val="clear" w:color="auto" w:fill="FFFFFF"/>
        <w:ind w:left="1556" w:leftChars="202" w:hanging="1132" w:hangingChars="472"/>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(2)、总就餐人数：平均</w:t>
      </w:r>
      <w:r>
        <w:rPr>
          <w:rFonts w:ascii="微软雅黑" w:hAnsi="微软雅黑" w:eastAsia="微软雅黑"/>
          <w:color w:val="000000" w:themeColor="text1"/>
          <w:sz w:val="24"/>
          <w:szCs w:val="24"/>
          <w:shd w:val="clear" w:color="auto" w:fill="FFFFFF"/>
          <w14:textFill>
            <w14:solidFill>
              <w14:schemeClr w14:val="tx1"/>
            </w14:solidFill>
          </w14:textFill>
        </w:rPr>
        <w:t>700</w:t>
      </w:r>
      <w:r>
        <w:rPr>
          <w:rFonts w:hint="eastAsia" w:ascii="微软雅黑" w:hAnsi="微软雅黑" w:eastAsia="微软雅黑"/>
          <w:color w:val="000000" w:themeColor="text1"/>
          <w:sz w:val="24"/>
          <w:szCs w:val="24"/>
          <w:shd w:val="clear" w:color="auto" w:fill="FFFFFF"/>
          <w14:textFill>
            <w14:solidFill>
              <w14:schemeClr w14:val="tx1"/>
            </w14:solidFill>
          </w14:textFill>
        </w:rPr>
        <w:t>人/天。</w:t>
      </w:r>
    </w:p>
    <w:p>
      <w:pPr>
        <w:widowControl/>
        <w:shd w:val="clear" w:color="auto" w:fill="FFFFFF"/>
        <w:ind w:left="1556" w:leftChars="202" w:hanging="1132" w:hangingChars="472"/>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(3)、单餐最高就餐人数：</w:t>
      </w:r>
      <w:r>
        <w:rPr>
          <w:rFonts w:ascii="微软雅黑" w:hAnsi="微软雅黑" w:eastAsia="微软雅黑"/>
          <w:color w:val="000000" w:themeColor="text1"/>
          <w:sz w:val="24"/>
          <w:szCs w:val="24"/>
          <w:shd w:val="clear" w:color="auto" w:fill="FFFFFF"/>
          <w14:textFill>
            <w14:solidFill>
              <w14:schemeClr w14:val="tx1"/>
            </w14:solidFill>
          </w14:textFill>
        </w:rPr>
        <w:t>350</w:t>
      </w:r>
      <w:r>
        <w:rPr>
          <w:rFonts w:hint="eastAsia" w:ascii="微软雅黑" w:hAnsi="微软雅黑" w:eastAsia="微软雅黑"/>
          <w:color w:val="000000" w:themeColor="text1"/>
          <w:sz w:val="24"/>
          <w:szCs w:val="24"/>
          <w:shd w:val="clear" w:color="auto" w:fill="FFFFFF"/>
          <w14:textFill>
            <w14:solidFill>
              <w14:schemeClr w14:val="tx1"/>
            </w14:solidFill>
          </w14:textFill>
        </w:rPr>
        <w:t>人。</w:t>
      </w:r>
    </w:p>
    <w:p>
      <w:pPr>
        <w:widowControl/>
        <w:shd w:val="clear" w:color="auto" w:fill="FFFFFF"/>
        <w:ind w:left="1556" w:leftChars="202" w:hanging="1132" w:hangingChars="472"/>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(4)、食堂硬件设施：</w:t>
      </w:r>
      <w:r>
        <w:rPr>
          <w:rFonts w:ascii="微软雅黑" w:hAnsi="微软雅黑" w:eastAsia="微软雅黑"/>
          <w:color w:val="000000" w:themeColor="text1"/>
          <w:sz w:val="24"/>
          <w:szCs w:val="24"/>
          <w:shd w:val="clear" w:color="auto" w:fill="FFFFFF"/>
          <w14:textFill>
            <w14:solidFill>
              <w14:schemeClr w14:val="tx1"/>
            </w14:solidFill>
          </w14:textFill>
        </w:rPr>
        <w:t>灶眼5个（2大3小）、蒸气夹层锅1个、冰柜3个、蒸饭柜2个、消毒柜2个、煮面炉2个</w:t>
      </w:r>
      <w:r>
        <w:rPr>
          <w:rFonts w:hint="eastAsia" w:ascii="微软雅黑" w:hAnsi="微软雅黑" w:eastAsia="微软雅黑"/>
          <w:color w:val="000000" w:themeColor="text1"/>
          <w:sz w:val="24"/>
          <w:szCs w:val="24"/>
          <w:shd w:val="clear" w:color="auto" w:fill="FFFFFF"/>
          <w14:textFill>
            <w14:solidFill>
              <w14:schemeClr w14:val="tx1"/>
            </w14:solidFill>
          </w14:textFill>
        </w:rPr>
        <w:t>等食堂所用工具齐全。</w:t>
      </w:r>
    </w:p>
    <w:p>
      <w:pPr>
        <w:widowControl/>
        <w:shd w:val="clear" w:color="auto" w:fill="FFFFFF"/>
        <w:ind w:firstLine="465"/>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kern w:val="0"/>
          <w:sz w:val="24"/>
          <w:szCs w:val="24"/>
        </w:rPr>
        <w:t>(5)、</w:t>
      </w:r>
      <w:r>
        <w:rPr>
          <w:rFonts w:hint="eastAsia" w:ascii="微软雅黑" w:hAnsi="微软雅黑" w:eastAsia="微软雅黑" w:cs="Arial"/>
          <w:color w:val="000000" w:themeColor="text1"/>
          <w:kern w:val="0"/>
          <w:sz w:val="24"/>
          <w:szCs w:val="24"/>
          <w14:textFill>
            <w14:solidFill>
              <w14:schemeClr w14:val="tx1"/>
            </w14:solidFill>
          </w14:textFill>
        </w:rPr>
        <w:t>在食堂硬件条件下需保证按时为河南统一企业有限公司员工(含紫统)提供早、中、晚、夜</w:t>
      </w:r>
    </w:p>
    <w:p>
      <w:pPr>
        <w:widowControl/>
        <w:shd w:val="clear" w:color="auto" w:fill="FFFFFF"/>
        <w:ind w:firstLine="720" w:firstLineChars="300"/>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themeColor="text1"/>
          <w:kern w:val="0"/>
          <w:sz w:val="24"/>
          <w:szCs w:val="24"/>
          <w14:textFill>
            <w14:solidFill>
              <w14:schemeClr w14:val="tx1"/>
            </w14:solidFill>
          </w14:textFill>
        </w:rPr>
        <w:t>的餐饮供应。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(6)、保证金缴纳：投标保证金【</w:t>
      </w:r>
      <w:r>
        <w:rPr>
          <w:rFonts w:hint="default"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rPr>
        <w:t>】万元，履约保证金【</w:t>
      </w:r>
      <w:r>
        <w:rPr>
          <w:rFonts w:ascii="微软雅黑" w:hAnsi="微软雅黑" w:eastAsia="微软雅黑" w:cs="Arial"/>
          <w:color w:val="000000"/>
          <w:kern w:val="0"/>
          <w:sz w:val="24"/>
          <w:szCs w:val="24"/>
        </w:rPr>
        <w:t>20</w:t>
      </w:r>
      <w:r>
        <w:rPr>
          <w:rFonts w:hint="eastAsia" w:ascii="微软雅黑" w:hAnsi="微软雅黑" w:eastAsia="微软雅黑" w:cs="Arial"/>
          <w:color w:val="000000"/>
          <w:kern w:val="0"/>
          <w:sz w:val="24"/>
          <w:szCs w:val="24"/>
        </w:rPr>
        <w:t>】万元，具体以招标说明书为准。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、有效的营业执照，餐饮管理/服务或团膳管理/服务或食堂承包或正餐服务或膳食管理服务或热类食品制售相关的经营范围；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w:t>
      </w:r>
      <w:r>
        <w:rPr>
          <w:rFonts w:ascii="微软雅黑" w:hAnsi="微软雅黑" w:eastAsia="微软雅黑" w:cs="Arial"/>
          <w:color w:val="000000"/>
          <w:kern w:val="0"/>
          <w:sz w:val="24"/>
          <w:szCs w:val="24"/>
        </w:rPr>
        <w:t>2</w:t>
      </w:r>
      <w:r>
        <w:rPr>
          <w:rFonts w:hint="eastAsia" w:ascii="微软雅黑" w:hAnsi="微软雅黑" w:eastAsia="微软雅黑" w:cs="Arial"/>
          <w:color w:val="000000"/>
          <w:kern w:val="0"/>
          <w:sz w:val="24"/>
          <w:szCs w:val="24"/>
        </w:rPr>
        <w:t>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w:t>
      </w:r>
      <w:r>
        <w:rPr>
          <w:rFonts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rPr>
        <w:t>年以上（含），且具备餐饮服务营业范围</w:t>
      </w:r>
      <w:r>
        <w:rPr>
          <w:rFonts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rPr>
        <w:t>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、限河南省范围内有服务实绩。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default" w:ascii="微软雅黑" w:hAnsi="微软雅黑" w:eastAsia="微软雅黑" w:cs="微软雅黑"/>
          <w:b/>
          <w:bCs/>
          <w:kern w:val="0"/>
          <w:sz w:val="24"/>
          <w:szCs w:val="24"/>
        </w:rPr>
        <w:t>C</w:t>
      </w:r>
      <w:r>
        <w:rPr>
          <w:rFonts w:hint="eastAsia" w:ascii="微软雅黑" w:hAnsi="微软雅黑" w:eastAsia="微软雅黑" w:cs="微软雅黑"/>
          <w:b/>
          <w:bCs/>
          <w:kern w:val="0"/>
          <w:sz w:val="24"/>
          <w:szCs w:val="24"/>
        </w:rPr>
        <w:t>、报名时间：</w:t>
      </w:r>
      <w:r>
        <w:rPr>
          <w:rFonts w:hint="eastAsia" w:ascii="微软雅黑" w:hAnsi="微软雅黑" w:eastAsia="微软雅黑" w:cs="微软雅黑"/>
          <w:b/>
          <w:bCs/>
          <w:kern w:val="0"/>
          <w:sz w:val="24"/>
          <w:szCs w:val="24"/>
          <w:highlight w:val="yellow"/>
        </w:rPr>
        <w:t>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19</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25</w:t>
      </w:r>
      <w:r>
        <w:rPr>
          <w:rFonts w:hint="eastAsia" w:ascii="微软雅黑" w:hAnsi="微软雅黑" w:eastAsia="微软雅黑" w:cs="微软雅黑"/>
          <w:b/>
          <w:bCs/>
          <w:kern w:val="0"/>
          <w:sz w:val="24"/>
          <w:szCs w:val="24"/>
          <w:highlight w:val="yellow"/>
        </w:rPr>
        <w:t>日17时止；</w:t>
      </w:r>
    </w:p>
    <w:p>
      <w:pPr>
        <w:tabs>
          <w:tab w:val="left" w:pos="9781"/>
        </w:tabs>
        <w:ind w:left="210" w:leftChars="100" w:right="-151" w:rightChars="-72"/>
        <w:rPr>
          <w:rFonts w:hint="eastAsia" w:ascii="微软雅黑" w:hAnsi="微软雅黑" w:eastAsia="微软雅黑" w:cs="微软雅黑"/>
          <w:kern w:val="0"/>
          <w:sz w:val="24"/>
          <w:szCs w:val="24"/>
        </w:rPr>
      </w:pPr>
      <w:r>
        <w:rPr>
          <w:rFonts w:hint="default" w:ascii="微软雅黑" w:hAnsi="微软雅黑" w:eastAsia="微软雅黑" w:cs="微软雅黑"/>
          <w:kern w:val="0"/>
          <w:sz w:val="24"/>
          <w:szCs w:val="24"/>
        </w:rPr>
        <w:t>D</w:t>
      </w:r>
      <w:r>
        <w:rPr>
          <w:rFonts w:hint="eastAsia" w:ascii="微软雅黑" w:hAnsi="微软雅黑" w:eastAsia="微软雅黑" w:cs="微软雅黑"/>
          <w:kern w:val="0"/>
          <w:sz w:val="24"/>
          <w:szCs w:val="24"/>
        </w:rPr>
        <w:t>、审核合格后，将由统一公司安排实地评鉴工作。</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rFonts w:hint="eastAsia" w:ascii="宋体" w:hAnsi="宋体"/>
          <w:bCs/>
          <w:sz w:val="20"/>
          <w:szCs w:val="24"/>
          <w:u w:val="single"/>
        </w:rPr>
        <w:t>河南统一20</w:t>
      </w:r>
      <w:r>
        <w:rPr>
          <w:rFonts w:ascii="宋体" w:hAnsi="宋体"/>
          <w:bCs/>
          <w:sz w:val="20"/>
          <w:szCs w:val="24"/>
          <w:u w:val="single"/>
        </w:rPr>
        <w:t>23</w:t>
      </w:r>
      <w:r>
        <w:rPr>
          <w:rFonts w:hint="eastAsia" w:ascii="宋体" w:hAnsi="宋体"/>
          <w:bCs/>
          <w:sz w:val="20"/>
          <w:szCs w:val="24"/>
          <w:u w:val="single"/>
        </w:rPr>
        <w:t>年-</w:t>
      </w:r>
      <w:r>
        <w:rPr>
          <w:rFonts w:ascii="宋体" w:hAnsi="宋体"/>
          <w:bCs/>
          <w:sz w:val="20"/>
          <w:szCs w:val="24"/>
          <w:u w:val="single"/>
        </w:rPr>
        <w:t>2025</w:t>
      </w:r>
      <w:r>
        <w:rPr>
          <w:rFonts w:hint="eastAsia" w:ascii="宋体" w:hAnsi="宋体"/>
          <w:bCs/>
          <w:sz w:val="20"/>
          <w:szCs w:val="24"/>
          <w:u w:val="single"/>
        </w:rPr>
        <w:t>年度食堂外包服务项目</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河南统一20</w:t>
      </w:r>
      <w:r>
        <w:rPr>
          <w:b/>
          <w:bCs/>
          <w:sz w:val="28"/>
          <w:u w:val="single"/>
        </w:rPr>
        <w:t>23</w:t>
      </w:r>
      <w:r>
        <w:rPr>
          <w:rFonts w:hint="eastAsia"/>
          <w:b/>
          <w:bCs/>
          <w:sz w:val="28"/>
          <w:u w:val="single"/>
        </w:rPr>
        <w:t>年-</w:t>
      </w:r>
      <w:r>
        <w:rPr>
          <w:b/>
          <w:bCs/>
          <w:sz w:val="28"/>
          <w:u w:val="single"/>
        </w:rPr>
        <w:t>2025</w:t>
      </w:r>
      <w:r>
        <w:rPr>
          <w:rFonts w:hint="eastAsia"/>
          <w:b/>
          <w:bCs/>
          <w:sz w:val="28"/>
          <w:u w:val="single"/>
        </w:rPr>
        <w:t>年度食堂外包服务项目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bookmarkStart w:id="0" w:name="_GoBack"/>
      <w:r>
        <w:rPr>
          <w:rFonts w:hint="eastAsia"/>
          <w:sz w:val="28"/>
          <w:lang w:val="en-US" w:eastAsia="zh-Hans"/>
        </w:rPr>
        <w:t>授权公司</w:t>
      </w:r>
      <w:bookmarkEnd w:id="0"/>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河南</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27465"/>
    <w:rsid w:val="00030AA8"/>
    <w:rsid w:val="00030B76"/>
    <w:rsid w:val="00033555"/>
    <w:rsid w:val="00033E9D"/>
    <w:rsid w:val="00033FB1"/>
    <w:rsid w:val="0004354F"/>
    <w:rsid w:val="00043F0F"/>
    <w:rsid w:val="00046795"/>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53F"/>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6C7E"/>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2D34"/>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2739"/>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10C"/>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4F3"/>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2920"/>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4B4A"/>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5EFF"/>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43C7E"/>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6EF"/>
    <w:rsid w:val="0079090D"/>
    <w:rsid w:val="00791D28"/>
    <w:rsid w:val="0079293F"/>
    <w:rsid w:val="00793224"/>
    <w:rsid w:val="00793E29"/>
    <w:rsid w:val="00795835"/>
    <w:rsid w:val="00796DE7"/>
    <w:rsid w:val="00797BBD"/>
    <w:rsid w:val="007A19DA"/>
    <w:rsid w:val="007A1DA7"/>
    <w:rsid w:val="007A65AE"/>
    <w:rsid w:val="007A7F59"/>
    <w:rsid w:val="007B07F0"/>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03FD"/>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29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17CE"/>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924AD"/>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736"/>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4F4F"/>
    <w:rsid w:val="00BF50AF"/>
    <w:rsid w:val="00BF6469"/>
    <w:rsid w:val="00BF79B2"/>
    <w:rsid w:val="00C011C0"/>
    <w:rsid w:val="00C07519"/>
    <w:rsid w:val="00C07C9C"/>
    <w:rsid w:val="00C100F0"/>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27CC"/>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1850"/>
    <w:rsid w:val="00D522CA"/>
    <w:rsid w:val="00D54578"/>
    <w:rsid w:val="00D671BF"/>
    <w:rsid w:val="00D67D34"/>
    <w:rsid w:val="00D72CA4"/>
    <w:rsid w:val="00D73789"/>
    <w:rsid w:val="00D7462E"/>
    <w:rsid w:val="00D74925"/>
    <w:rsid w:val="00D7545D"/>
    <w:rsid w:val="00D7586B"/>
    <w:rsid w:val="00D76544"/>
    <w:rsid w:val="00D76739"/>
    <w:rsid w:val="00D76BE7"/>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910"/>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0A86"/>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59"/>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373D3165"/>
    <w:rsid w:val="3FF72503"/>
    <w:rsid w:val="42790C89"/>
    <w:rsid w:val="45AB7A85"/>
    <w:rsid w:val="51C404BD"/>
    <w:rsid w:val="56EA50BD"/>
    <w:rsid w:val="57C64453"/>
    <w:rsid w:val="5BFE7638"/>
    <w:rsid w:val="5E916AC6"/>
    <w:rsid w:val="67FF4C1A"/>
    <w:rsid w:val="6F6D4CC4"/>
    <w:rsid w:val="79507852"/>
    <w:rsid w:val="7A7B26AD"/>
    <w:rsid w:val="DF197489"/>
    <w:rsid w:val="EFEBF0DB"/>
    <w:rsid w:val="F7B7C654"/>
    <w:rsid w:val="FBF98135"/>
    <w:rsid w:val="FD7BB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
    <w:basedOn w:val="1"/>
    <w:qFormat/>
    <w:uiPriority w:val="34"/>
    <w:pPr>
      <w:ind w:firstLine="420" w:firstLineChars="200"/>
    </w:pPr>
  </w:style>
  <w:style w:type="character" w:customStyle="1" w:styleId="19">
    <w:name w:val="批注文字 字符"/>
    <w:link w:val="3"/>
    <w:semiHidden/>
    <w:qFormat/>
    <w:uiPriority w:val="0"/>
    <w:rPr>
      <w:kern w:val="2"/>
      <w:sz w:val="21"/>
    </w:rPr>
  </w:style>
  <w:style w:type="character" w:customStyle="1" w:styleId="20">
    <w:name w:val="批注主题 字符"/>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字符1"/>
    <w:link w:val="8"/>
    <w:qFormat/>
    <w:uiPriority w:val="99"/>
    <w:rPr>
      <w:kern w:val="2"/>
      <w:sz w:val="18"/>
    </w:rPr>
  </w:style>
  <w:style w:type="character" w:customStyle="1" w:styleId="23">
    <w:name w:val="页眉 字符"/>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4</Pages>
  <Words>287</Words>
  <Characters>1639</Characters>
  <Lines>13</Lines>
  <Paragraphs>3</Paragraphs>
  <TotalTime>1</TotalTime>
  <ScaleCrop>false</ScaleCrop>
  <LinksUpToDate>false</LinksUpToDate>
  <CharactersWithSpaces>1923</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2020-12-29T15:40:00Z</dcterms:created>
  <dc:creator>grdpec</dc:creator>
  <cp:keywords>标准</cp:keywords>
  <cp:lastModifiedBy>管明明明</cp:lastModifiedBy>
  <cp:lastPrinted>2017-11-14T09:02:00Z</cp:lastPrinted>
  <dcterms:modified xsi:type="dcterms:W3CDTF">2023-05-17T14:21:26Z</dcterms:modified>
  <dc:subject>昆山研究所标准书模板</dc:subject>
  <dc:title>stdbook</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