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9" w:rsidRDefault="004E67EB" w:rsidP="00067699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FB17D9" w:rsidRDefault="004E67EB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上海统一企业饮料食品有限公司针对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厂内电力设备预防性测试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服务项目招标，公开征集符合如下要求的服务商伙伴：</w:t>
      </w:r>
    </w:p>
    <w:p w:rsidR="00FB17D9" w:rsidRDefault="004E67E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FB17D9" w:rsidRDefault="004E67EB" w:rsidP="00067699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（以实际签订时间为准）</w:t>
      </w:r>
      <w:bookmarkStart w:id="0" w:name="_GoBack"/>
      <w:bookmarkEnd w:id="0"/>
    </w:p>
    <w:p w:rsidR="00FB17D9" w:rsidRDefault="004E67EB" w:rsidP="00067699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项目地点：上海统一企业饮料食品有限公司厂内（上海市金山区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金舸路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:rsidR="00FB17D9" w:rsidRDefault="004E67EB" w:rsidP="00067699">
      <w:pPr>
        <w:widowControl/>
        <w:shd w:val="clear" w:color="auto" w:fill="FFFFFF"/>
        <w:ind w:leftChars="202" w:left="1557" w:hangingChars="472" w:hanging="1133"/>
        <w:jc w:val="left"/>
        <w:rPr>
          <w:rFonts w:ascii="宋体" w:hAnsi="宋体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1" w:name="_Hlk80019688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统一企业饮料食品有限公司厂区内油浸式电力变压器、干式电力变压器、高压开关柜、高压隔离开关柜、电力电缆、母线排、电压电流互感器、避雷器等电力设备检测，并出具当地上海供电局认可之检测报告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35KV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系统）；协助甲方与供电部门协调配合电力设备预防测试的相关事宜</w:t>
      </w:r>
      <w:bookmarkEnd w:id="1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B17D9" w:rsidRDefault="004E67EB">
      <w:pPr>
        <w:spacing w:line="276" w:lineRule="auto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FB17D9" w:rsidRDefault="004E67EB">
      <w:pPr>
        <w:numPr>
          <w:ilvl w:val="0"/>
          <w:numId w:val="1"/>
        </w:numPr>
        <w:spacing w:line="360" w:lineRule="exact"/>
        <w:ind w:left="700" w:hanging="2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乙方在作业过程中，所有的停送电倒闸操作均按照甲方工作流程，必须有甲方负责人员在场。乙方的现场负责人还应做好与甲方各项工作的配合。</w:t>
      </w:r>
    </w:p>
    <w:p w:rsidR="00FB17D9" w:rsidRDefault="004E67EB">
      <w:pPr>
        <w:numPr>
          <w:ilvl w:val="0"/>
          <w:numId w:val="1"/>
        </w:numPr>
        <w:spacing w:line="360" w:lineRule="exact"/>
        <w:ind w:left="700" w:hanging="2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乙方应当于检测完成后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日内向甲方提供统一格式之检测报告一式贰份；相关数据应当真实、有效。</w:t>
      </w:r>
    </w:p>
    <w:p w:rsidR="00FB17D9" w:rsidRDefault="004E67EB">
      <w:pPr>
        <w:numPr>
          <w:ilvl w:val="0"/>
          <w:numId w:val="1"/>
        </w:numPr>
        <w:spacing w:line="360" w:lineRule="exact"/>
        <w:ind w:left="700" w:hanging="2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乙方相应工作人员需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持证上岗，并依《电力设备预防性试验规程》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DL/T596-2015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对甲方电力设备进行试验，并出具当地供电部门认可之试验报告。</w:t>
      </w:r>
    </w:p>
    <w:p w:rsidR="00FB17D9" w:rsidRDefault="004E67EB">
      <w:pPr>
        <w:numPr>
          <w:ilvl w:val="0"/>
          <w:numId w:val="1"/>
        </w:numPr>
        <w:spacing w:line="360" w:lineRule="exact"/>
        <w:ind w:left="700" w:hanging="2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协助甲方做好安全措施严格把好安全关，防止事故特别是人身事故的发生，做好安全防护工作。该项工作中，若因乙方试验或操作原因造成设备损坏，由乙方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负责无偿更换修复堪用，若因设备自身存在质量问题，甲方负责支付费用更换设备。</w:t>
      </w:r>
    </w:p>
    <w:p w:rsidR="00FB17D9" w:rsidRDefault="004E67EB">
      <w:pPr>
        <w:numPr>
          <w:ilvl w:val="0"/>
          <w:numId w:val="1"/>
        </w:numPr>
        <w:spacing w:line="360" w:lineRule="exact"/>
        <w:ind w:left="700" w:hanging="2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精心组织试验工作，若在试验中发现存在问题应及时向甲方提出整改意见，并协助甲方整改，确保试验工作的质量。</w:t>
      </w:r>
    </w:p>
    <w:p w:rsidR="00FB17D9" w:rsidRDefault="004E67EB">
      <w:pPr>
        <w:widowControl/>
        <w:spacing w:line="36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  <w:r w:rsidR="0006769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</w:t>
      </w:r>
      <w:r w:rsidR="0006769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承装(修、试)电力设施许可证</w:t>
      </w:r>
      <w:r w:rsidR="0006769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级及以上</w:t>
      </w:r>
    </w:p>
    <w:p w:rsidR="00FB17D9" w:rsidRDefault="004E67E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陈宇</w:t>
      </w:r>
    </w:p>
    <w:p w:rsidR="00FB17D9" w:rsidRDefault="004E67EB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13776340245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 w:rsidR="0006769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06769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06769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16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FB17D9" w:rsidRDefault="004E67E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FB17D9" w:rsidRDefault="004E67E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FB17D9" w:rsidRDefault="004E67EB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B17D9" w:rsidRDefault="00FB17D9" w:rsidP="0006769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FB17D9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FB17D9" w:rsidRDefault="004E67E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FB17D9" w:rsidRDefault="004E67EB"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上海统一（金山）</w:t>
      </w:r>
      <w:r>
        <w:rPr>
          <w:rFonts w:ascii="宋体" w:hAnsi="宋体" w:hint="eastAsia"/>
          <w:bCs/>
          <w:sz w:val="20"/>
          <w:szCs w:val="24"/>
          <w:u w:val="single"/>
        </w:rPr>
        <w:t>2022-2023</w:t>
      </w:r>
      <w:r>
        <w:rPr>
          <w:rFonts w:ascii="宋体" w:hAnsi="宋体" w:hint="eastAsia"/>
          <w:bCs/>
          <w:sz w:val="20"/>
          <w:szCs w:val="24"/>
          <w:u w:val="single"/>
        </w:rPr>
        <w:t>年度厂内电力设备预防性测试服务项目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FB17D9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FB17D9" w:rsidRDefault="004E67E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FB17D9">
        <w:trPr>
          <w:trHeight w:val="523"/>
        </w:trPr>
        <w:tc>
          <w:tcPr>
            <w:tcW w:w="534" w:type="dxa"/>
            <w:vMerge w:val="restart"/>
            <w:vAlign w:val="center"/>
          </w:tcPr>
          <w:p w:rsidR="00FB17D9" w:rsidRDefault="004E67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59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59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0"/>
        </w:trPr>
        <w:tc>
          <w:tcPr>
            <w:tcW w:w="534" w:type="dxa"/>
            <w:vMerge w:val="restart"/>
            <w:vAlign w:val="center"/>
          </w:tcPr>
          <w:p w:rsidR="00FB17D9" w:rsidRDefault="004E67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0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0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0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0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0"/>
        </w:trPr>
        <w:tc>
          <w:tcPr>
            <w:tcW w:w="534" w:type="dxa"/>
            <w:vMerge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FB17D9" w:rsidRDefault="00FB17D9">
            <w:pPr>
              <w:rPr>
                <w:bCs/>
                <w:sz w:val="18"/>
                <w:szCs w:val="18"/>
              </w:rPr>
            </w:pPr>
          </w:p>
        </w:tc>
      </w:tr>
      <w:tr w:rsidR="00FB17D9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B17D9" w:rsidRDefault="004E67E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B17D9">
        <w:trPr>
          <w:trHeight w:val="405"/>
        </w:trPr>
        <w:tc>
          <w:tcPr>
            <w:tcW w:w="10591" w:type="dxa"/>
            <w:gridSpan w:val="4"/>
            <w:vAlign w:val="center"/>
          </w:tcPr>
          <w:p w:rsidR="00FB17D9" w:rsidRDefault="004E67E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B17D9">
        <w:trPr>
          <w:trHeight w:val="991"/>
        </w:trPr>
        <w:tc>
          <w:tcPr>
            <w:tcW w:w="2093" w:type="dxa"/>
            <w:gridSpan w:val="2"/>
            <w:vAlign w:val="center"/>
          </w:tcPr>
          <w:p w:rsidR="00FB17D9" w:rsidRDefault="004E67E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  <w:p w:rsidR="00FB17D9" w:rsidRDefault="00FB17D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B17D9" w:rsidRDefault="004E67E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FB17D9" w:rsidRDefault="00FB17D9">
      <w:pPr>
        <w:autoSpaceDE w:val="0"/>
        <w:autoSpaceDN w:val="0"/>
        <w:jc w:val="center"/>
        <w:rPr>
          <w:sz w:val="36"/>
          <w:szCs w:val="36"/>
        </w:rPr>
      </w:pPr>
    </w:p>
    <w:p w:rsidR="00FB17D9" w:rsidRDefault="00FB17D9">
      <w:pPr>
        <w:autoSpaceDE w:val="0"/>
        <w:autoSpaceDN w:val="0"/>
        <w:jc w:val="center"/>
        <w:rPr>
          <w:sz w:val="36"/>
          <w:szCs w:val="36"/>
        </w:rPr>
      </w:pPr>
    </w:p>
    <w:p w:rsidR="00FB17D9" w:rsidRDefault="00FB17D9">
      <w:pPr>
        <w:autoSpaceDE w:val="0"/>
        <w:autoSpaceDN w:val="0"/>
        <w:jc w:val="center"/>
        <w:rPr>
          <w:sz w:val="36"/>
          <w:szCs w:val="36"/>
        </w:rPr>
      </w:pPr>
    </w:p>
    <w:p w:rsidR="00FB17D9" w:rsidRDefault="00FB17D9">
      <w:pPr>
        <w:autoSpaceDE w:val="0"/>
        <w:autoSpaceDN w:val="0"/>
        <w:rPr>
          <w:sz w:val="36"/>
          <w:szCs w:val="36"/>
        </w:rPr>
      </w:pPr>
    </w:p>
    <w:p w:rsidR="00FB17D9" w:rsidRDefault="004E67EB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FB17D9" w:rsidRDefault="004E67EB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FB17D9" w:rsidRDefault="004E67E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FB17D9" w:rsidRDefault="004E67E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FB17D9" w:rsidRDefault="004E67EB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FB17D9" w:rsidRDefault="004E67EB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FB17D9" w:rsidRDefault="004E67E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FB17D9" w:rsidRDefault="004E67EB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FB17D9" w:rsidRDefault="004E67E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FB17D9" w:rsidRDefault="004E67E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上海统一企业饮料食品有限公司厂区内</w:t>
      </w:r>
      <w:r>
        <w:rPr>
          <w:rFonts w:hint="eastAsia"/>
          <w:b/>
          <w:bCs/>
          <w:sz w:val="28"/>
          <w:u w:val="single"/>
        </w:rPr>
        <w:t>电力设备预防性试验</w:t>
      </w:r>
      <w:r>
        <w:rPr>
          <w:rFonts w:hint="eastAsia"/>
          <w:b/>
          <w:bCs/>
          <w:sz w:val="28"/>
          <w:u w:val="single"/>
        </w:rPr>
        <w:t>服务</w:t>
      </w:r>
      <w:r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FB17D9" w:rsidRDefault="004E67E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FB17D9" w:rsidRDefault="004E67E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FB17D9" w:rsidRDefault="004E67E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FB17D9" w:rsidRDefault="004E67E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上海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统一企业饮料食品有限公司项目招标活动结束时止，如中标至与招标人签订项目合同执行完毕为止。</w:t>
      </w:r>
    </w:p>
    <w:p w:rsidR="00FB17D9" w:rsidRDefault="00FB17D9">
      <w:pPr>
        <w:ind w:firstLine="570"/>
        <w:rPr>
          <w:sz w:val="28"/>
        </w:rPr>
      </w:pPr>
    </w:p>
    <w:p w:rsidR="00FB17D9" w:rsidRDefault="00FB17D9">
      <w:pPr>
        <w:ind w:firstLine="570"/>
        <w:rPr>
          <w:sz w:val="28"/>
        </w:rPr>
      </w:pPr>
    </w:p>
    <w:p w:rsidR="00FB17D9" w:rsidRDefault="004E67E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FB17D9" w:rsidRDefault="004E67E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FB17D9" w:rsidRDefault="004E67E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FB17D9" w:rsidRDefault="00FB17D9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FB17D9" w:rsidSect="00FB17D9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EB" w:rsidRDefault="004E67EB" w:rsidP="00FB17D9">
      <w:r>
        <w:separator/>
      </w:r>
    </w:p>
  </w:endnote>
  <w:endnote w:type="continuationSeparator" w:id="0">
    <w:p w:rsidR="004E67EB" w:rsidRDefault="004E67EB" w:rsidP="00FB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D9" w:rsidRDefault="00FB17D9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D9" w:rsidRDefault="00FB17D9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D9" w:rsidRDefault="004E67EB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FB17D9">
      <w:rPr>
        <w:sz w:val="20"/>
      </w:rPr>
      <w:fldChar w:fldCharType="begin"/>
    </w:r>
    <w:r>
      <w:rPr>
        <w:sz w:val="20"/>
      </w:rPr>
      <w:instrText xml:space="preserve"> page </w:instrText>
    </w:r>
    <w:r w:rsidR="00FB17D9">
      <w:rPr>
        <w:sz w:val="20"/>
      </w:rPr>
      <w:fldChar w:fldCharType="separate"/>
    </w:r>
    <w:r w:rsidR="00067699">
      <w:rPr>
        <w:noProof/>
        <w:sz w:val="20"/>
      </w:rPr>
      <w:t>2</w:t>
    </w:r>
    <w:r w:rsidR="00FB17D9">
      <w:rPr>
        <w:sz w:val="20"/>
      </w:rPr>
      <w:fldChar w:fldCharType="end"/>
    </w:r>
    <w:r>
      <w:rPr>
        <w:sz w:val="20"/>
      </w:rPr>
      <w:t xml:space="preserve"> / </w:t>
    </w:r>
    <w:r w:rsidR="00FB17D9">
      <w:rPr>
        <w:sz w:val="20"/>
      </w:rPr>
      <w:fldChar w:fldCharType="begin"/>
    </w:r>
    <w:r>
      <w:rPr>
        <w:sz w:val="20"/>
      </w:rPr>
      <w:instrText xml:space="preserve"> numpages </w:instrText>
    </w:r>
    <w:r w:rsidR="00FB17D9">
      <w:rPr>
        <w:sz w:val="20"/>
      </w:rPr>
      <w:fldChar w:fldCharType="separate"/>
    </w:r>
    <w:r w:rsidR="00067699">
      <w:rPr>
        <w:noProof/>
        <w:sz w:val="20"/>
      </w:rPr>
      <w:t>3</w:t>
    </w:r>
    <w:r w:rsidR="00FB17D9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EB" w:rsidRDefault="004E67EB" w:rsidP="00FB17D9">
      <w:r>
        <w:separator/>
      </w:r>
    </w:p>
  </w:footnote>
  <w:footnote w:type="continuationSeparator" w:id="0">
    <w:p w:rsidR="004E67EB" w:rsidRDefault="004E67EB" w:rsidP="00FB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D9" w:rsidRDefault="00FB17D9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D9" w:rsidRDefault="00FB17D9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0B9"/>
    <w:multiLevelType w:val="singleLevel"/>
    <w:tmpl w:val="110820B9"/>
    <w:lvl w:ilvl="0">
      <w:start w:val="1"/>
      <w:numFmt w:val="decimal"/>
      <w:suff w:val="nothing"/>
      <w:lvlText w:val="%1）"/>
      <w:lvlJc w:val="left"/>
      <w:pPr>
        <w:ind w:left="13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0EAC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7699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4E75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24B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5F2C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0E4C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2E97"/>
    <w:rsid w:val="003428A0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639A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386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4ED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67EB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109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3C8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417B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BB7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266C"/>
    <w:rsid w:val="008B358A"/>
    <w:rsid w:val="008B61C3"/>
    <w:rsid w:val="008B7BA4"/>
    <w:rsid w:val="008B7E19"/>
    <w:rsid w:val="008C01B5"/>
    <w:rsid w:val="008C099F"/>
    <w:rsid w:val="008C3E02"/>
    <w:rsid w:val="008C7092"/>
    <w:rsid w:val="008D11AF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79AF"/>
    <w:rsid w:val="0096199A"/>
    <w:rsid w:val="00961AEE"/>
    <w:rsid w:val="009630D5"/>
    <w:rsid w:val="00963ADC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1483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182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3AE1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0312"/>
    <w:rsid w:val="00BC2AB1"/>
    <w:rsid w:val="00BC2BEE"/>
    <w:rsid w:val="00BC7490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2E73"/>
    <w:rsid w:val="00C460AC"/>
    <w:rsid w:val="00C4621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67A9D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86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3A76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69A9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188B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76FE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7D9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A693F6A"/>
    <w:rsid w:val="0BB31188"/>
    <w:rsid w:val="0CAB5C0E"/>
    <w:rsid w:val="13005877"/>
    <w:rsid w:val="14190BFC"/>
    <w:rsid w:val="183C3BB7"/>
    <w:rsid w:val="1B1B5B59"/>
    <w:rsid w:val="1BA333BA"/>
    <w:rsid w:val="1FAF67D1"/>
    <w:rsid w:val="221B672C"/>
    <w:rsid w:val="24683157"/>
    <w:rsid w:val="24AD7057"/>
    <w:rsid w:val="27CC5A46"/>
    <w:rsid w:val="28A013AD"/>
    <w:rsid w:val="297939AC"/>
    <w:rsid w:val="2A600375"/>
    <w:rsid w:val="2AB81867"/>
    <w:rsid w:val="2FC736C3"/>
    <w:rsid w:val="32650F71"/>
    <w:rsid w:val="38417096"/>
    <w:rsid w:val="38B41360"/>
    <w:rsid w:val="39351095"/>
    <w:rsid w:val="3C261FFC"/>
    <w:rsid w:val="3FC74AFB"/>
    <w:rsid w:val="44FE14DD"/>
    <w:rsid w:val="46E12E64"/>
    <w:rsid w:val="4B0E6DD1"/>
    <w:rsid w:val="52913715"/>
    <w:rsid w:val="54A12C6A"/>
    <w:rsid w:val="5E1267B8"/>
    <w:rsid w:val="62476448"/>
    <w:rsid w:val="64C25B5C"/>
    <w:rsid w:val="68A54F23"/>
    <w:rsid w:val="69E71C90"/>
    <w:rsid w:val="7024308B"/>
    <w:rsid w:val="72323CC5"/>
    <w:rsid w:val="74CD6A74"/>
    <w:rsid w:val="7631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FB17D9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FB17D9"/>
    <w:pPr>
      <w:jc w:val="left"/>
    </w:pPr>
  </w:style>
  <w:style w:type="paragraph" w:styleId="a5">
    <w:name w:val="Body Text Indent"/>
    <w:basedOn w:val="a"/>
    <w:qFormat/>
    <w:rsid w:val="00FB17D9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qFormat/>
    <w:rsid w:val="00FB17D9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qFormat/>
    <w:rsid w:val="00FB17D9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FB17D9"/>
    <w:rPr>
      <w:sz w:val="18"/>
      <w:szCs w:val="18"/>
    </w:rPr>
  </w:style>
  <w:style w:type="paragraph" w:styleId="a9">
    <w:name w:val="footer"/>
    <w:basedOn w:val="a"/>
    <w:link w:val="Char0"/>
    <w:uiPriority w:val="99"/>
    <w:qFormat/>
    <w:rsid w:val="00FB17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FB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qFormat/>
    <w:rsid w:val="00FB17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FB17D9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qFormat/>
    <w:rsid w:val="00FB17D9"/>
    <w:rPr>
      <w:b/>
      <w:bCs/>
    </w:rPr>
  </w:style>
  <w:style w:type="character" w:styleId="ae">
    <w:name w:val="page number"/>
    <w:basedOn w:val="a0"/>
    <w:qFormat/>
    <w:rsid w:val="00FB17D9"/>
  </w:style>
  <w:style w:type="character" w:styleId="af">
    <w:name w:val="Hyperlink"/>
    <w:basedOn w:val="a0"/>
    <w:qFormat/>
    <w:rsid w:val="00FB17D9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FB17D9"/>
    <w:rPr>
      <w:sz w:val="21"/>
      <w:szCs w:val="21"/>
    </w:rPr>
  </w:style>
  <w:style w:type="paragraph" w:styleId="af1">
    <w:name w:val="List Paragraph"/>
    <w:basedOn w:val="a"/>
    <w:uiPriority w:val="34"/>
    <w:qFormat/>
    <w:rsid w:val="00FB17D9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qFormat/>
    <w:rsid w:val="00FB17D9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qFormat/>
    <w:rsid w:val="00FB17D9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FB17D9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qFormat/>
    <w:rsid w:val="00FB17D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14</TotalTime>
  <Pages>3</Pages>
  <Words>303</Words>
  <Characters>1733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20</cp:revision>
  <cp:lastPrinted>2017-11-14T01:02:00Z</cp:lastPrinted>
  <dcterms:created xsi:type="dcterms:W3CDTF">2021-08-13T08:07:00Z</dcterms:created>
  <dcterms:modified xsi:type="dcterms:W3CDTF">2022-05-09T06:52:00Z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08CE892F462F43BEB5045C3E8F3BD7D1</vt:lpwstr>
  </property>
</Properties>
</file>