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合肥统一企业有限公司针对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废油类下脚品外卖服务项目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项目地点：合肥市经济技术开发区锦绣大道182号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项目范围：合肥统一企业有限公司的废弃油脂和废棕榈油</w:t>
      </w:r>
    </w:p>
    <w:p>
      <w:pPr>
        <w:widowControl/>
        <w:spacing w:line="360" w:lineRule="exact"/>
        <w:ind w:firstLine="360" w:firstLineChars="15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壹万伍仟元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，具体以招标说明书为准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、有效的营业执照，具备废弃油脂回收/处置相关经营范围营业范围；</w:t>
      </w:r>
    </w:p>
    <w:p>
      <w:pPr>
        <w:autoSpaceDE w:val="0"/>
        <w:autoSpaceDN w:val="0"/>
        <w:adjustRightInd w:val="0"/>
        <w:spacing w:after="120"/>
        <w:ind w:firstLine="360" w:firstLineChars="15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B、具备废弃油脂回收/处置相关经营范围营业范围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≥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（含）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pec.com.cn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15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08时至20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合肥统一废油类下脚品外卖服务项目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宋体" w:hAnsi="宋体"/>
          <w:bCs/>
          <w:sz w:val="30"/>
          <w:szCs w:val="30"/>
          <w:u w:val="single"/>
        </w:rPr>
        <w:t>合肥统一废油类下脚品外卖服务项目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合肥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7BE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5074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E7CE0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481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76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2B2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48CA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4CFF6B85"/>
    <w:rsid w:val="7E5E53B6"/>
    <w:rsid w:val="7FB3911E"/>
    <w:rsid w:val="9EDF07FD"/>
    <w:rsid w:val="BFAFD40D"/>
    <w:rsid w:val="F63F2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217</Words>
  <Characters>1237</Characters>
  <Lines>10</Lines>
  <Paragraphs>2</Paragraphs>
  <TotalTime>0</TotalTime>
  <ScaleCrop>false</ScaleCrop>
  <LinksUpToDate>false</LinksUpToDate>
  <CharactersWithSpaces>1452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2022-02-14T15:00:00Z</dcterms:created>
  <dc:creator>grdpec</dc:creator>
  <cp:keywords>标准</cp:keywords>
  <cp:lastModifiedBy>apple</cp:lastModifiedBy>
  <cp:lastPrinted>2017-11-14T09:02:00Z</cp:lastPrinted>
  <dcterms:modified xsi:type="dcterms:W3CDTF">2022-02-14T16:20:33Z</dcterms:modified>
  <dc:subject>昆山研究所标准书模板</dc:subject>
  <dc:title>stdbook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