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600" w:firstLineChars="2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重庆统一企业有限公司针对</w:t>
      </w:r>
      <w:r>
        <w:rPr>
          <w:rFonts w:hint="eastAsia" w:ascii="微软雅黑" w:hAnsi="微软雅黑" w:eastAsia="微软雅黑" w:cs="Arial"/>
          <w:b/>
          <w:color w:val="000000"/>
          <w:kern w:val="0"/>
          <w:sz w:val="24"/>
          <w:szCs w:val="24"/>
        </w:rPr>
        <w:t xml:space="preserve">茶渣安全处置服务项目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项目地点：重庆市璧山区青杠街道统一路6号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项目范围：厂区茶渣安全处置服务</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A、服务机构指定人员（可以是清运司机）在重庆统一电话告知茶渣达将到5吨时，应及时</w:t>
      </w:r>
    </w:p>
    <w:p>
      <w:pPr>
        <w:widowControl/>
        <w:shd w:val="clear" w:color="auto" w:fill="FFFFFF"/>
        <w:ind w:left="1554" w:leftChars="601" w:hanging="292" w:hangingChars="12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组织车辆到重庆统一厂内茶渣井处清运。</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B、服务机构应按照环境保护法等相关法律法规的规定对茶渣实施规范贮存和处置。</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C、服务机构清运茶渣应做到沿路无渗漏。</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D、服务机构清运车辆离开重庆统一厂区后产生的环境问题与重庆统一无关，责任由服务机</w:t>
      </w:r>
    </w:p>
    <w:p>
      <w:pPr>
        <w:widowControl/>
        <w:shd w:val="clear" w:color="auto" w:fill="FFFFFF"/>
        <w:ind w:left="1555" w:leftChars="430" w:hanging="652" w:hangingChars="2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构承担。</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保证金缴纳：投标保证金0.2万元；履约保证金0.2万元，具体以招标说明书为准。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7" w:leftChars="270" w:firstLine="120" w:firstLineChars="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营业范围：加工(饲料、肥料)；种植、养殖；垃圾清运/回收/运输/处理等相关的经营范围。</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eastAsia="zh-CN"/>
        </w:rPr>
        <w:t>手机</w:t>
      </w:r>
      <w:r>
        <w:rPr>
          <w:rFonts w:hint="eastAsia" w:ascii="微软雅黑" w:hAnsi="微软雅黑" w:eastAsia="微软雅黑" w:cs="Arial"/>
          <w:color w:val="000000"/>
          <w:kern w:val="0"/>
          <w:sz w:val="24"/>
          <w:szCs w:val="24"/>
          <w:lang w:val="en-US" w:eastAsia="zh-CN"/>
        </w:rPr>
        <w:t>13503068994，座机021－22158888分机4455</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20</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lang w:val="en-US" w:eastAsia="zh-CN"/>
        </w:rPr>
        <w:t>1</w:t>
      </w:r>
      <w:r>
        <w:rPr>
          <w:rFonts w:hint="eastAsia" w:ascii="微软雅黑" w:hAnsi="微软雅黑" w:eastAsia="微软雅黑" w:cs="Arial"/>
          <w:b/>
          <w:color w:val="000000"/>
          <w:kern w:val="0"/>
          <w:sz w:val="24"/>
          <w:szCs w:val="24"/>
          <w:highlight w:val="none"/>
          <w:lang w:val="en-US" w:eastAsia="zh-CN"/>
        </w:rPr>
        <w:t>2</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18</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20</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12</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24</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w:t>
      </w:r>
      <w:bookmarkStart w:id="0" w:name="_GoBack"/>
      <w:bookmarkEnd w:id="0"/>
      <w:r>
        <w:rPr>
          <w:rFonts w:hint="eastAsia" w:ascii="微软雅黑" w:hAnsi="微软雅黑" w:eastAsia="微软雅黑" w:cs="Arial"/>
          <w:color w:val="000000"/>
          <w:kern w:val="0"/>
          <w:sz w:val="24"/>
          <w:szCs w:val="24"/>
        </w:rPr>
        <w:t>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重庆统一茶渣安全处置服务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重庆统一企业有限公司茶渣安全处置服务项目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重庆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2D16"/>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4E1D"/>
    <w:rsid w:val="001E5111"/>
    <w:rsid w:val="001F370E"/>
    <w:rsid w:val="00201D5B"/>
    <w:rsid w:val="00201F7C"/>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7045"/>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12CC"/>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58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46B9"/>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65FC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7D"/>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176FB"/>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E78DE"/>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86A"/>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3C98"/>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2C96"/>
    <w:rsid w:val="00A3513C"/>
    <w:rsid w:val="00A368AE"/>
    <w:rsid w:val="00A37072"/>
    <w:rsid w:val="00A37C65"/>
    <w:rsid w:val="00A414A4"/>
    <w:rsid w:val="00A42813"/>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3750"/>
    <w:rsid w:val="00AC5F60"/>
    <w:rsid w:val="00AC7424"/>
    <w:rsid w:val="00AD2ED8"/>
    <w:rsid w:val="00AD3A28"/>
    <w:rsid w:val="00AD455B"/>
    <w:rsid w:val="00AD5D29"/>
    <w:rsid w:val="00AD6FE3"/>
    <w:rsid w:val="00AD7DD6"/>
    <w:rsid w:val="00AD7E9E"/>
    <w:rsid w:val="00AE1330"/>
    <w:rsid w:val="00AE2F34"/>
    <w:rsid w:val="00AF0DA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10A9"/>
    <w:rsid w:val="00C62F09"/>
    <w:rsid w:val="00C64220"/>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258AB"/>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C7C8D"/>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258"/>
    <w:rsid w:val="00FF4D41"/>
    <w:rsid w:val="5B04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1</Pages>
  <Words>299</Words>
  <Characters>1710</Characters>
  <Lines>14</Lines>
  <Paragraphs>4</Paragraphs>
  <TotalTime>49</TotalTime>
  <ScaleCrop>false</ScaleCrop>
  <LinksUpToDate>false</LinksUpToDate>
  <CharactersWithSpaces>2005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2020-12-01T01:01:00Z</dcterms:created>
  <dc:creator>grdpec</dc:creator>
  <cp:keywords>标准</cp:keywords>
  <cp:lastModifiedBy>维维</cp:lastModifiedBy>
  <cp:lastPrinted>2017-11-14T01:02:00Z</cp:lastPrinted>
  <dcterms:modified xsi:type="dcterms:W3CDTF">2020-12-17T08:18:08Z</dcterms:modified>
  <dc:subject>昆山研究所标准书模板</dc:subject>
  <dc:title>stdbook</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