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Default="00676647" w:rsidP="00E46B1C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1B6076" w:rsidRPr="008347F2" w:rsidRDefault="001B6076" w:rsidP="001B607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</w:t>
      </w:r>
      <w:r w:rsidR="00674B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年下脚品外卖服务项目招标，公开征集符合如下要求的服务商伙伴：</w:t>
      </w:r>
    </w:p>
    <w:p w:rsidR="001B6076" w:rsidRPr="008347F2" w:rsidRDefault="001B6076" w:rsidP="001B607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1B6076" w:rsidRPr="008347F2" w:rsidRDefault="001B6076" w:rsidP="001B6076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1.1合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</w:t>
      </w:r>
      <w:r w:rsidR="00674B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74B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74B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日至202</w:t>
      </w:r>
      <w:r w:rsidR="00674B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1B6076" w:rsidRPr="00C2422A" w:rsidRDefault="001B6076" w:rsidP="001B6076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.2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项目地点及项目分类说明</w:t>
      </w:r>
      <w:r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： </w:t>
      </w:r>
    </w:p>
    <w:p w:rsidR="001B6076" w:rsidRDefault="001B6076" w:rsidP="001B6076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项目地点</w:t>
      </w: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广州市黄埔区康南路788号</w:t>
      </w:r>
      <w:r>
        <w:rPr>
          <w:rFonts w:ascii="微软雅黑" w:eastAsia="微软雅黑" w:hAnsi="微软雅黑"/>
          <w:sz w:val="24"/>
        </w:rPr>
        <w:t xml:space="preserve"> </w:t>
      </w:r>
    </w:p>
    <w:p w:rsidR="001B6076" w:rsidRDefault="001B6076" w:rsidP="001B6076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af2"/>
        <w:tblW w:w="0" w:type="auto"/>
        <w:tblLook w:val="04A0"/>
      </w:tblPr>
      <w:tblGrid>
        <w:gridCol w:w="627"/>
        <w:gridCol w:w="820"/>
        <w:gridCol w:w="1548"/>
        <w:gridCol w:w="1237"/>
        <w:gridCol w:w="5333"/>
      </w:tblGrid>
      <w:tr w:rsidR="001B6076" w:rsidRPr="009714CD" w:rsidTr="007B594E">
        <w:trPr>
          <w:trHeight w:val="312"/>
        </w:trPr>
        <w:tc>
          <w:tcPr>
            <w:tcW w:w="2995" w:type="dxa"/>
            <w:gridSpan w:val="3"/>
            <w:vMerge w:val="restart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计价单位</w:t>
            </w:r>
          </w:p>
        </w:tc>
        <w:tc>
          <w:tcPr>
            <w:tcW w:w="5333" w:type="dxa"/>
            <w:vMerge w:val="restart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定义</w:t>
            </w:r>
          </w:p>
        </w:tc>
      </w:tr>
      <w:tr w:rsidR="001B6076" w:rsidRPr="009714CD" w:rsidTr="007B594E">
        <w:trPr>
          <w:trHeight w:val="259"/>
        </w:trPr>
        <w:tc>
          <w:tcPr>
            <w:tcW w:w="2995" w:type="dxa"/>
            <w:gridSpan w:val="3"/>
            <w:vMerge/>
            <w:hideMark/>
          </w:tcPr>
          <w:p w:rsidR="001B6076" w:rsidRPr="009714CD" w:rsidRDefault="001B6076" w:rsidP="007B594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hideMark/>
          </w:tcPr>
          <w:p w:rsidR="001B6076" w:rsidRPr="009714CD" w:rsidRDefault="001B6076" w:rsidP="007B594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333" w:type="dxa"/>
            <w:vMerge/>
            <w:hideMark/>
          </w:tcPr>
          <w:p w:rsidR="001B6076" w:rsidRPr="009714CD" w:rsidRDefault="001B6076" w:rsidP="007B594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1B6076" w:rsidRPr="009714CD" w:rsidTr="007B594E">
        <w:trPr>
          <w:trHeight w:val="466"/>
        </w:trPr>
        <w:tc>
          <w:tcPr>
            <w:tcW w:w="627" w:type="dxa"/>
            <w:vMerge w:val="restart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一般类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废纸类</w:t>
            </w: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瓶盖纸箱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完好的瓶盖纸箱（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依现场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招标说明会实物确认为准）</w:t>
            </w:r>
          </w:p>
        </w:tc>
      </w:tr>
      <w:tr w:rsidR="001B6076" w:rsidRPr="009714CD" w:rsidTr="007B594E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纸碗纸箱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完好的纸碗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纸箱（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依现场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招标说明会实物确认为准）</w:t>
            </w:r>
          </w:p>
        </w:tc>
      </w:tr>
      <w:tr w:rsidR="001B6076" w:rsidRPr="009714CD" w:rsidTr="007B594E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标签纸箱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完好的标签纸箱（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依现场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招标说明会实物确认为准）</w:t>
            </w:r>
          </w:p>
        </w:tc>
      </w:tr>
      <w:tr w:rsidR="001B6076" w:rsidRPr="009714CD" w:rsidTr="007B594E">
        <w:trPr>
          <w:trHeight w:val="60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废纸板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除按个售卖的瓶盖、纸碗、标签纸箱外的其他纸箱（含破损的按个售卖纸箱）</w:t>
            </w:r>
          </w:p>
        </w:tc>
      </w:tr>
      <w:tr w:rsidR="001B6076" w:rsidRPr="009714CD" w:rsidTr="007B594E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硬纸板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包装类卷芯、原料纸筒、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餐绕膜卷芯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、设备包装硬纸板等其他与前述材质一致的硬纸板</w:t>
            </w:r>
          </w:p>
        </w:tc>
      </w:tr>
      <w:tr w:rsidR="001B6076" w:rsidRPr="009714CD" w:rsidTr="007B594E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ind w:firstLineChars="150" w:firstLine="30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淋膜纸</w:t>
            </w:r>
            <w:proofErr w:type="gramEnd"/>
          </w:p>
        </w:tc>
        <w:tc>
          <w:tcPr>
            <w:tcW w:w="1237" w:type="dxa"/>
            <w:noWrap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535D58" w:rsidRDefault="001B6076" w:rsidP="007B594E">
            <w:pPr>
              <w:adjustRightInd w:val="0"/>
              <w:snapToGrid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535D5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方便面废白纸桶、彩色纸桶等其他与前述材质一致的</w:t>
            </w:r>
            <w:proofErr w:type="gramStart"/>
            <w:r w:rsidRPr="00535D5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淋膜纸</w:t>
            </w:r>
            <w:proofErr w:type="gramEnd"/>
            <w:r w:rsidRPr="00535D5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</w:t>
            </w:r>
          </w:p>
        </w:tc>
      </w:tr>
      <w:tr w:rsidR="001B6076" w:rsidRPr="009714CD" w:rsidTr="007B594E">
        <w:trPr>
          <w:trHeight w:val="409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编织袋类</w:t>
            </w: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白糖编织口袋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白糖编织口袋（含内袋）</w:t>
            </w:r>
          </w:p>
        </w:tc>
      </w:tr>
      <w:tr w:rsidR="001B6076" w:rsidRPr="009714CD" w:rsidTr="007B594E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面粉编织口袋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1B6076" w:rsidRPr="00535D58" w:rsidRDefault="001B6076" w:rsidP="007B594E">
            <w:pPr>
              <w:adjustRightInd w:val="0"/>
              <w:snapToGrid w:val="0"/>
              <w:rPr>
                <w:rFonts w:asciiTheme="minorEastAsia" w:hAnsiTheme="minorEastAsia"/>
                <w:color w:val="000000"/>
                <w:sz w:val="20"/>
              </w:rPr>
            </w:pPr>
            <w:r w:rsidRPr="00535D58">
              <w:rPr>
                <w:rFonts w:asciiTheme="minorEastAsia" w:hAnsiTheme="minorEastAsia" w:hint="eastAsia"/>
                <w:color w:val="000000"/>
                <w:sz w:val="20"/>
              </w:rPr>
              <w:t>面粉编织口袋</w:t>
            </w:r>
          </w:p>
        </w:tc>
      </w:tr>
      <w:tr w:rsidR="001B6076" w:rsidRPr="00535D58" w:rsidTr="007B594E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1B6076" w:rsidRPr="00535D58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535D58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535D58" w:rsidRDefault="001B6076" w:rsidP="007B594E">
            <w:pPr>
              <w:jc w:val="left"/>
              <w:rPr>
                <w:rFonts w:asciiTheme="minorEastAsia" w:hAnsiTheme="minorEastAsia"/>
                <w:sz w:val="20"/>
              </w:rPr>
            </w:pPr>
            <w:r w:rsidRPr="00535D58">
              <w:rPr>
                <w:rFonts w:asciiTheme="minorEastAsia" w:hAnsiTheme="minorEastAsia" w:hint="eastAsia"/>
                <w:color w:val="000000"/>
                <w:sz w:val="20"/>
              </w:rPr>
              <w:t>淀粉编织口袋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ind w:firstLineChars="150" w:firstLine="30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淀粉编织口袋</w:t>
            </w:r>
          </w:p>
        </w:tc>
      </w:tr>
      <w:tr w:rsidR="001B6076" w:rsidRPr="009714CD" w:rsidTr="007B594E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聚脂口袋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完好的聚酯切片口袋（含内袋）</w:t>
            </w:r>
          </w:p>
        </w:tc>
      </w:tr>
      <w:tr w:rsidR="001B6076" w:rsidRPr="009714CD" w:rsidTr="007B594E">
        <w:trPr>
          <w:trHeight w:val="358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废塑料类</w:t>
            </w: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PET白料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无色瓶胚、无色空瓶</w:t>
            </w:r>
          </w:p>
        </w:tc>
      </w:tr>
      <w:tr w:rsidR="001B6076" w:rsidRPr="009714CD" w:rsidTr="007B594E">
        <w:trPr>
          <w:trHeight w:val="409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PET有色料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有色瓶胚、有色空瓶</w:t>
            </w:r>
          </w:p>
        </w:tc>
      </w:tr>
      <w:tr w:rsidR="001B6076" w:rsidRPr="009714CD" w:rsidTr="007B594E">
        <w:trPr>
          <w:trHeight w:val="416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PET开机废料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PET瓶胚开机时的废料（含有色、无色、杂色）</w:t>
            </w:r>
          </w:p>
        </w:tc>
      </w:tr>
      <w:tr w:rsidR="001B6076" w:rsidRPr="009714CD" w:rsidTr="007B594E">
        <w:trPr>
          <w:trHeight w:val="42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PP、PE料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报废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饮料瓶盖等其他PP、PE类塑料</w:t>
            </w:r>
          </w:p>
        </w:tc>
      </w:tr>
      <w:tr w:rsidR="001B6076" w:rsidRPr="009714CD" w:rsidTr="007B594E">
        <w:trPr>
          <w:trHeight w:val="998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废塑料膜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 w:rsidR="001B6076" w:rsidRPr="009714CD" w:rsidTr="007B594E">
        <w:trPr>
          <w:trHeight w:val="517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塑料桶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食品添加剂桶、醋桶、酱油桶、香精桶、咖啡桶、食用酒精桶等其他与前述材质一致的塑料桶（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不含危废类空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桶）</w:t>
            </w:r>
          </w:p>
        </w:tc>
      </w:tr>
      <w:tr w:rsidR="001B6076" w:rsidRPr="009714CD" w:rsidTr="007B594E">
        <w:trPr>
          <w:trHeight w:val="553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废保丽纸</w:t>
            </w:r>
            <w:proofErr w:type="gramEnd"/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废保丽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纸（含成品报废后的包装袋）、废标签纸（含成品报废后的标签纸）</w:t>
            </w:r>
          </w:p>
        </w:tc>
      </w:tr>
      <w:tr w:rsidR="001B6076" w:rsidRPr="00080C97" w:rsidTr="007B594E">
        <w:trPr>
          <w:trHeight w:val="1408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杂塑料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080C97" w:rsidRDefault="001B6076" w:rsidP="001B6076">
            <w:pPr>
              <w:pStyle w:val="ad"/>
              <w:numPr>
                <w:ilvl w:val="0"/>
                <w:numId w:val="41"/>
              </w:numPr>
              <w:ind w:left="21" w:firstLineChars="0" w:hanging="21"/>
              <w:jc w:val="left"/>
              <w:rPr>
                <w:rFonts w:asciiTheme="minorEastAsia" w:hAnsiTheme="minorEastAsia"/>
                <w:sz w:val="20"/>
              </w:rPr>
            </w:pPr>
            <w:r w:rsidRPr="00080C97">
              <w:rPr>
                <w:rFonts w:asciiTheme="minorEastAsia" w:hAnsiTheme="minorEastAsia" w:hint="eastAsia"/>
                <w:sz w:val="20"/>
              </w:rPr>
              <w:t>PP管、PPR管、橡胶管、高压管等各种报废的塑料管；②纸箱外面的打包带；③废旧轮胎（含空心、实心叉车轮胎、汽车轮胎）；④破损、污染的编织袋；⑤各种</w:t>
            </w:r>
            <w:r>
              <w:rPr>
                <w:rFonts w:asciiTheme="minorEastAsia" w:hAnsiTheme="minorEastAsia" w:hint="eastAsia"/>
                <w:sz w:val="20"/>
              </w:rPr>
              <w:t>原料包装</w:t>
            </w:r>
            <w:r w:rsidRPr="00080C97">
              <w:rPr>
                <w:rFonts w:asciiTheme="minorEastAsia" w:hAnsiTheme="minorEastAsia" w:hint="eastAsia"/>
                <w:sz w:val="20"/>
              </w:rPr>
              <w:t>塑料袋（</w:t>
            </w:r>
            <w:r>
              <w:rPr>
                <w:rFonts w:asciiTheme="minorEastAsia" w:hAnsiTheme="minorEastAsia" w:hint="eastAsia"/>
                <w:sz w:val="20"/>
              </w:rPr>
              <w:t>可能粘染原料，须整理、清洗晾干后称重，</w:t>
            </w:r>
            <w:r w:rsidRPr="00080C97">
              <w:rPr>
                <w:rFonts w:asciiTheme="minorEastAsia" w:hAnsiTheme="minorEastAsia" w:hint="eastAsia"/>
                <w:sz w:val="20"/>
              </w:rPr>
              <w:t>如：果汁内袋、葡萄糖浆内袋</w:t>
            </w:r>
            <w:r>
              <w:rPr>
                <w:rFonts w:asciiTheme="minorEastAsia" w:hAnsiTheme="minorEastAsia" w:hint="eastAsia"/>
                <w:sz w:val="20"/>
              </w:rPr>
              <w:t>、椰油内袋</w:t>
            </w:r>
            <w:r w:rsidRPr="00080C97">
              <w:rPr>
                <w:rFonts w:asciiTheme="minorEastAsia" w:hAnsiTheme="minorEastAsia" w:hint="eastAsia"/>
                <w:sz w:val="20"/>
              </w:rPr>
              <w:t>等）；⑥污染的色拉油桶；⑦其他与上述描述材质一致的其他塑料制品</w:t>
            </w:r>
          </w:p>
        </w:tc>
      </w:tr>
      <w:tr w:rsidR="001B6076" w:rsidRPr="009714CD" w:rsidTr="007B594E">
        <w:trPr>
          <w:trHeight w:val="832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废金属</w:t>
            </w: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废生熟铁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①报废的铁质零件；②报废的大小铁罐；③报废的各种铁质材料边角料；④报废的铁质设备或资产；⑤以上未包含的其他铁质空桶；</w:t>
            </w:r>
          </w:p>
        </w:tc>
      </w:tr>
      <w:tr w:rsidR="001B6076" w:rsidRPr="009714CD" w:rsidTr="007B594E">
        <w:trPr>
          <w:trHeight w:val="427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废不锈钢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废不锈钢（含201、304、316）</w:t>
            </w:r>
          </w:p>
        </w:tc>
      </w:tr>
      <w:tr w:rsidR="001B6076" w:rsidRPr="009714CD" w:rsidTr="007B594E">
        <w:trPr>
          <w:trHeight w:val="419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废铝及铝合金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废铝合金、报废的AC罐、废铝芯电缆线（含外皮）；</w:t>
            </w:r>
          </w:p>
        </w:tc>
      </w:tr>
      <w:tr w:rsidR="001B6076" w:rsidRPr="009714CD" w:rsidTr="007B594E">
        <w:trPr>
          <w:trHeight w:val="419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废铜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废铜（电器元件拆解铜、电缆铜线等&lt;不含外皮&gt;）</w:t>
            </w:r>
          </w:p>
        </w:tc>
      </w:tr>
      <w:tr w:rsidR="001B6076" w:rsidRPr="009714CD" w:rsidTr="007B594E">
        <w:trPr>
          <w:trHeight w:val="412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废铁桶</w:t>
            </w: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完整空桶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成套果汁原浆空铁桶</w:t>
            </w:r>
          </w:p>
        </w:tc>
      </w:tr>
      <w:tr w:rsidR="001B6076" w:rsidRPr="009714CD" w:rsidTr="007B594E">
        <w:trPr>
          <w:trHeight w:val="417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有损空桶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缺盖、硬伤型变形或破损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果汁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原浆桶</w:t>
            </w:r>
          </w:p>
        </w:tc>
      </w:tr>
      <w:tr w:rsidR="001B6076" w:rsidRPr="009714CD" w:rsidTr="007B594E">
        <w:trPr>
          <w:trHeight w:val="423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其他类</w:t>
            </w:r>
          </w:p>
        </w:tc>
        <w:tc>
          <w:tcPr>
            <w:tcW w:w="1548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废活性炭</w:t>
            </w:r>
          </w:p>
        </w:tc>
        <w:tc>
          <w:tcPr>
            <w:tcW w:w="1237" w:type="dxa"/>
            <w:noWrap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水处理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汰换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活性炭（非危废品）</w:t>
            </w:r>
          </w:p>
        </w:tc>
      </w:tr>
      <w:tr w:rsidR="001B6076" w:rsidRPr="009714CD" w:rsidTr="007B594E">
        <w:trPr>
          <w:trHeight w:val="40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kern w:val="0"/>
                <w:sz w:val="20"/>
              </w:rPr>
              <w:t>废塑料</w:t>
            </w:r>
            <w:proofErr w:type="gramStart"/>
            <w:r w:rsidRPr="00535D58">
              <w:rPr>
                <w:rFonts w:asciiTheme="minorEastAsia" w:hAnsiTheme="minorEastAsia" w:cs="宋体" w:hint="eastAsia"/>
                <w:kern w:val="0"/>
                <w:sz w:val="20"/>
              </w:rPr>
              <w:t>栈</w:t>
            </w:r>
            <w:proofErr w:type="gramEnd"/>
            <w:r w:rsidRPr="00535D58">
              <w:rPr>
                <w:rFonts w:asciiTheme="minorEastAsia" w:hAnsiTheme="minorEastAsia" w:cs="宋体" w:hint="eastAsia"/>
                <w:kern w:val="0"/>
                <w:sz w:val="20"/>
              </w:rPr>
              <w:t>板</w:t>
            </w:r>
          </w:p>
        </w:tc>
        <w:tc>
          <w:tcPr>
            <w:tcW w:w="1237" w:type="dxa"/>
            <w:vAlign w:val="center"/>
            <w:hideMark/>
          </w:tcPr>
          <w:p w:rsidR="001B6076" w:rsidRPr="00535D58" w:rsidRDefault="001B6076" w:rsidP="007B594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35D58">
              <w:rPr>
                <w:rFonts w:asciiTheme="minorEastAsia" w:hAnsiTheme="minorEastAsia" w:cs="宋体" w:hint="eastAsia"/>
                <w:kern w:val="0"/>
                <w:sz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535D58" w:rsidRDefault="001B6076" w:rsidP="007B594E">
            <w:pPr>
              <w:adjustRightInd w:val="0"/>
              <w:snapToGrid w:val="0"/>
              <w:rPr>
                <w:rFonts w:asciiTheme="minorEastAsia" w:hAnsiTheme="minorEastAsia"/>
                <w:color w:val="000000"/>
                <w:sz w:val="20"/>
              </w:rPr>
            </w:pPr>
            <w:r w:rsidRPr="00535D58">
              <w:rPr>
                <w:rFonts w:asciiTheme="minorEastAsia" w:hAnsiTheme="minorEastAsia" w:hint="eastAsia"/>
                <w:color w:val="000000"/>
                <w:sz w:val="20"/>
              </w:rPr>
              <w:t>报废的塑料</w:t>
            </w:r>
            <w:proofErr w:type="gramStart"/>
            <w:r w:rsidRPr="00535D58">
              <w:rPr>
                <w:rFonts w:asciiTheme="minorEastAsia" w:hAnsiTheme="minorEastAsia" w:hint="eastAsia"/>
                <w:color w:val="000000"/>
                <w:sz w:val="20"/>
              </w:rPr>
              <w:t>栈</w:t>
            </w:r>
            <w:proofErr w:type="gramEnd"/>
            <w:r w:rsidRPr="00535D58">
              <w:rPr>
                <w:rFonts w:asciiTheme="minorEastAsia" w:hAnsiTheme="minorEastAsia" w:hint="eastAsia"/>
                <w:color w:val="000000"/>
                <w:sz w:val="20"/>
              </w:rPr>
              <w:t>板（公司所有部门）</w:t>
            </w:r>
          </w:p>
        </w:tc>
      </w:tr>
      <w:tr w:rsidR="001B6076" w:rsidRPr="009714CD" w:rsidTr="007B594E">
        <w:trPr>
          <w:trHeight w:val="40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废木材</w:t>
            </w:r>
          </w:p>
        </w:tc>
        <w:tc>
          <w:tcPr>
            <w:tcW w:w="1237" w:type="dxa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报废木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栈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板、设备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包装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木箱、木制层板、木质家具等</w:t>
            </w:r>
          </w:p>
        </w:tc>
      </w:tr>
      <w:tr w:rsidR="001B6076" w:rsidRPr="009714CD" w:rsidTr="007B594E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废IT设备</w:t>
            </w:r>
          </w:p>
        </w:tc>
        <w:tc>
          <w:tcPr>
            <w:tcW w:w="1237" w:type="dxa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元/台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报废电脑（包含主机、显示器）、打印机、传真机、投影机、传真机、相机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、UPS电源主机（不含铅蓄电池）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</w:tr>
      <w:tr w:rsidR="001B6076" w:rsidRPr="009714CD" w:rsidTr="007B594E">
        <w:trPr>
          <w:trHeight w:val="42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D86638" w:rsidRDefault="001B6076" w:rsidP="007B594E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0"/>
              </w:rPr>
            </w:pPr>
            <w:r w:rsidRPr="00D86638">
              <w:rPr>
                <w:rFonts w:asciiTheme="minorEastAsia" w:hAnsiTheme="minorEastAsia" w:cs="宋体" w:hint="eastAsia"/>
                <w:kern w:val="0"/>
                <w:sz w:val="20"/>
              </w:rPr>
              <w:t>废空调</w:t>
            </w:r>
          </w:p>
        </w:tc>
        <w:tc>
          <w:tcPr>
            <w:tcW w:w="1237" w:type="dxa"/>
            <w:vAlign w:val="center"/>
            <w:hideMark/>
          </w:tcPr>
          <w:p w:rsidR="001B6076" w:rsidRPr="00D86638" w:rsidRDefault="001B6076" w:rsidP="007B594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D86638">
              <w:rPr>
                <w:rFonts w:asciiTheme="minorEastAsia" w:hAnsiTheme="minorEastAsia" w:cs="宋体" w:hint="eastAsia"/>
                <w:kern w:val="0"/>
                <w:sz w:val="20"/>
              </w:rPr>
              <w:t>元/台</w:t>
            </w:r>
          </w:p>
        </w:tc>
        <w:tc>
          <w:tcPr>
            <w:tcW w:w="5333" w:type="dxa"/>
            <w:vAlign w:val="center"/>
            <w:hideMark/>
          </w:tcPr>
          <w:p w:rsidR="001B6076" w:rsidRPr="00D86638" w:rsidRDefault="001B6076" w:rsidP="007B594E">
            <w:pPr>
              <w:adjustRightInd w:val="0"/>
              <w:snapToGrid w:val="0"/>
              <w:rPr>
                <w:rFonts w:asciiTheme="minorEastAsia" w:hAnsiTheme="minorEastAsia"/>
                <w:color w:val="000000"/>
                <w:sz w:val="20"/>
              </w:rPr>
            </w:pPr>
            <w:r w:rsidRPr="00D86638">
              <w:rPr>
                <w:rFonts w:asciiTheme="minorEastAsia" w:hAnsiTheme="minorEastAsia" w:hint="eastAsia"/>
                <w:color w:val="000000"/>
                <w:sz w:val="20"/>
              </w:rPr>
              <w:t>报废的空调（</w:t>
            </w:r>
            <w:proofErr w:type="gramStart"/>
            <w:r w:rsidRPr="00D86638">
              <w:rPr>
                <w:rFonts w:asciiTheme="minorEastAsia" w:hAnsiTheme="minorEastAsia" w:hint="eastAsia"/>
                <w:color w:val="000000"/>
                <w:sz w:val="20"/>
              </w:rPr>
              <w:t>含内机</w:t>
            </w:r>
            <w:proofErr w:type="gramEnd"/>
            <w:r w:rsidRPr="00D86638">
              <w:rPr>
                <w:rFonts w:asciiTheme="minorEastAsia" w:hAnsiTheme="minorEastAsia" w:hint="eastAsia"/>
                <w:color w:val="000000"/>
                <w:sz w:val="20"/>
              </w:rPr>
              <w:t>和外机）</w:t>
            </w:r>
          </w:p>
        </w:tc>
      </w:tr>
      <w:tr w:rsidR="001B6076" w:rsidRPr="009714CD" w:rsidTr="007B594E">
        <w:trPr>
          <w:trHeight w:val="571"/>
        </w:trPr>
        <w:tc>
          <w:tcPr>
            <w:tcW w:w="627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废复合包装袋</w:t>
            </w:r>
          </w:p>
        </w:tc>
        <w:tc>
          <w:tcPr>
            <w:tcW w:w="1237" w:type="dxa"/>
            <w:vAlign w:val="center"/>
            <w:hideMark/>
          </w:tcPr>
          <w:p w:rsidR="001B6076" w:rsidRPr="009714CD" w:rsidRDefault="001B6076" w:rsidP="007B59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1B6076" w:rsidRPr="009714CD" w:rsidRDefault="001B6076" w:rsidP="007B594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内附锡箔纸口袋、热熔胶袋、植脂末口袋、品保原物料内袋、奶粉袋等于前述材质一致的包装袋</w:t>
            </w:r>
          </w:p>
        </w:tc>
      </w:tr>
    </w:tbl>
    <w:p w:rsidR="001B6076" w:rsidRDefault="009B4AF9" w:rsidP="001B607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（3）</w:t>
      </w:r>
      <w:r w:rsidR="001B60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46B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1B60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万元；履约保证金1</w:t>
      </w:r>
      <w:r w:rsidR="00546D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B60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9B4AF9" w:rsidRDefault="009B4AF9" w:rsidP="009B4AF9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（4）下脚品跨省运输需先备案，符合法规要求；</w:t>
      </w:r>
    </w:p>
    <w:p w:rsidR="009B4AF9" w:rsidRDefault="009B4AF9" w:rsidP="009B4AF9">
      <w:pPr>
        <w:spacing w:line="360" w:lineRule="exact"/>
        <w:ind w:firstLine="47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（5）营业执照异地经营需符合法规；</w:t>
      </w:r>
    </w:p>
    <w:p w:rsidR="009B4AF9" w:rsidRPr="009B4AF9" w:rsidRDefault="009B4AF9" w:rsidP="00223AA7">
      <w:pPr>
        <w:spacing w:line="360" w:lineRule="exact"/>
        <w:ind w:firstLine="473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（6）服务商需安排专人现场分拣，打包（打包机服务商自备）及清运；</w:t>
      </w:r>
    </w:p>
    <w:p w:rsidR="001B6076" w:rsidRPr="001B22E5" w:rsidRDefault="001B6076" w:rsidP="001B6076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1B6076" w:rsidRPr="001B22E5" w:rsidRDefault="001B6076" w:rsidP="001B6076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1B22E5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营业范围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要求</w:t>
      </w:r>
    </w:p>
    <w:p w:rsidR="001B6076" w:rsidRDefault="001B6076" w:rsidP="001B6076">
      <w:pPr>
        <w:spacing w:line="360" w:lineRule="exact"/>
        <w:ind w:firstLineChars="209" w:firstLine="50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废旧物资回收或再生资源回收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相关的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6A3784" w:rsidRPr="008347F2" w:rsidRDefault="004E330D" w:rsidP="006A378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6A378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E46B1C" w:rsidRPr="008347F2" w:rsidRDefault="00E46B1C" w:rsidP="00E46B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E46B1C" w:rsidRPr="008347F2" w:rsidRDefault="00E46B1C" w:rsidP="00E46B1C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E46B1C" w:rsidRPr="008347F2" w:rsidRDefault="00E46B1C" w:rsidP="00E46B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E46B1C" w:rsidRDefault="00E46B1C" w:rsidP="00E46B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14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E46B1C" w:rsidRDefault="00E46B1C" w:rsidP="00E46B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4E330D" w:rsidRPr="008347F2" w:rsidRDefault="004E330D" w:rsidP="004E330D">
      <w:pPr>
        <w:jc w:val="center"/>
        <w:rPr>
          <w:rFonts w:ascii="微软雅黑" w:eastAsia="微软雅黑" w:hAnsi="微软雅黑"/>
          <w:b/>
          <w:bCs/>
          <w:sz w:val="32"/>
          <w:szCs w:val="24"/>
        </w:rPr>
      </w:pPr>
      <w:r w:rsidRPr="008347F2">
        <w:rPr>
          <w:rFonts w:ascii="微软雅黑" w:eastAsia="微软雅黑" w:hAnsi="微软雅黑" w:hint="eastAsia"/>
          <w:b/>
          <w:bCs/>
          <w:sz w:val="32"/>
          <w:szCs w:val="24"/>
        </w:rPr>
        <w:lastRenderedPageBreak/>
        <w:t xml:space="preserve">服务商  报名表 </w:t>
      </w:r>
    </w:p>
    <w:p w:rsidR="004E330D" w:rsidRPr="008347F2" w:rsidRDefault="004E330D" w:rsidP="004E330D">
      <w:pPr>
        <w:wordWrap w:val="0"/>
        <w:jc w:val="right"/>
        <w:rPr>
          <w:rFonts w:ascii="微软雅黑" w:eastAsia="微软雅黑" w:hAnsi="微软雅黑"/>
          <w:b/>
          <w:sz w:val="28"/>
          <w:szCs w:val="28"/>
          <w:u w:val="single"/>
        </w:rPr>
      </w:pPr>
      <w:r w:rsidRPr="008347F2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</w:t>
      </w:r>
      <w:r w:rsidRPr="008347F2">
        <w:rPr>
          <w:rFonts w:ascii="微软雅黑" w:eastAsia="微软雅黑" w:hAnsi="微软雅黑" w:hint="eastAsia"/>
          <w:bCs/>
          <w:sz w:val="20"/>
          <w:szCs w:val="24"/>
        </w:rPr>
        <w:t>引进项目：</w:t>
      </w:r>
      <w:r>
        <w:rPr>
          <w:rFonts w:ascii="微软雅黑" w:eastAsia="微软雅黑" w:hAnsi="微软雅黑" w:hint="eastAsia"/>
          <w:bCs/>
          <w:sz w:val="20"/>
          <w:szCs w:val="24"/>
          <w:u w:val="single"/>
        </w:rPr>
        <w:t>广州统一202</w:t>
      </w:r>
      <w:r w:rsidR="00674BB8">
        <w:rPr>
          <w:rFonts w:ascii="微软雅黑" w:eastAsia="微软雅黑" w:hAnsi="微软雅黑" w:hint="eastAsia"/>
          <w:bCs/>
          <w:sz w:val="20"/>
          <w:szCs w:val="24"/>
          <w:u w:val="single"/>
        </w:rPr>
        <w:t>1</w:t>
      </w:r>
      <w:r w:rsidRPr="008347F2">
        <w:rPr>
          <w:rFonts w:ascii="微软雅黑" w:eastAsia="微软雅黑" w:hAnsi="微软雅黑" w:hint="eastAsia"/>
          <w:bCs/>
          <w:sz w:val="20"/>
          <w:szCs w:val="24"/>
          <w:u w:val="single"/>
        </w:rPr>
        <w:t>年度下脚品外卖服务</w:t>
      </w:r>
      <w:r w:rsidRPr="008347F2">
        <w:rPr>
          <w:rFonts w:ascii="微软雅黑" w:eastAsia="微软雅黑" w:hAnsi="微软雅黑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B15946" w:rsidRPr="00840659" w:rsidTr="00750898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B15946" w:rsidRPr="00126EF2" w:rsidRDefault="00B15946" w:rsidP="00750898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B15946" w:rsidRPr="00126EF2" w:rsidRDefault="00B15946" w:rsidP="00750898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15946" w:rsidRPr="00840659" w:rsidTr="00750898">
        <w:trPr>
          <w:trHeight w:val="523"/>
        </w:trPr>
        <w:tc>
          <w:tcPr>
            <w:tcW w:w="534" w:type="dxa"/>
            <w:vMerge w:val="restart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B15946" w:rsidRPr="00840659" w:rsidTr="00750898">
        <w:trPr>
          <w:trHeight w:val="559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559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 w:val="restart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B15946" w:rsidRPr="00120DCE" w:rsidRDefault="00B15946" w:rsidP="007508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B15946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15946" w:rsidRPr="00840659" w:rsidTr="00750898">
        <w:trPr>
          <w:trHeight w:val="540"/>
        </w:trPr>
        <w:tc>
          <w:tcPr>
            <w:tcW w:w="534" w:type="dxa"/>
            <w:vMerge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15946" w:rsidRPr="00835701" w:rsidRDefault="00B15946" w:rsidP="007508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B15946" w:rsidRPr="00840659" w:rsidTr="00750898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15946" w:rsidRPr="00840659" w:rsidTr="00750898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B15946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126EF2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15946" w:rsidRPr="00840659" w:rsidTr="00750898">
        <w:trPr>
          <w:trHeight w:val="405"/>
        </w:trPr>
        <w:tc>
          <w:tcPr>
            <w:tcW w:w="2093" w:type="dxa"/>
            <w:gridSpan w:val="2"/>
            <w:vAlign w:val="center"/>
          </w:tcPr>
          <w:p w:rsidR="00B15946" w:rsidRPr="00126EF2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750898">
        <w:trPr>
          <w:trHeight w:val="458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B15946" w:rsidRPr="009745D6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B15946" w:rsidRPr="00840659" w:rsidTr="00750898">
        <w:trPr>
          <w:trHeight w:val="457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B15946" w:rsidRPr="00840659" w:rsidRDefault="00B15946" w:rsidP="00750898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B15946" w:rsidRPr="00840659" w:rsidTr="00750898">
        <w:trPr>
          <w:trHeight w:val="977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15946" w:rsidRPr="00840659" w:rsidTr="00B15946">
        <w:trPr>
          <w:trHeight w:val="851"/>
        </w:trPr>
        <w:tc>
          <w:tcPr>
            <w:tcW w:w="2093" w:type="dxa"/>
            <w:gridSpan w:val="2"/>
            <w:vAlign w:val="center"/>
          </w:tcPr>
          <w:p w:rsidR="00B15946" w:rsidRPr="00840659" w:rsidRDefault="00B15946" w:rsidP="00750898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B15946" w:rsidRPr="00840659" w:rsidRDefault="00B15946" w:rsidP="0075089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E330D" w:rsidRPr="008347F2" w:rsidRDefault="004E330D" w:rsidP="004E330D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备注：1、以上信息，除统一公司填写栏外，需填写完整， * 项目为必填项。</w:t>
      </w:r>
    </w:p>
    <w:p w:rsidR="004E330D" w:rsidRPr="008347F2" w:rsidRDefault="004E330D" w:rsidP="004E330D">
      <w:pPr>
        <w:ind w:firstLineChars="300" w:firstLine="540"/>
        <w:jc w:val="left"/>
        <w:rPr>
          <w:rFonts w:ascii="微软雅黑" w:eastAsia="微软雅黑" w:hAnsi="微软雅黑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2、联络人即项目受托人，后续招标环节的唯一联系人；联络人若为法人，可不提供劳动合同。</w:t>
      </w:r>
    </w:p>
    <w:p w:rsidR="004E330D" w:rsidRDefault="004E330D" w:rsidP="004E330D">
      <w:pPr>
        <w:autoSpaceDE w:val="0"/>
        <w:autoSpaceDN w:val="0"/>
        <w:adjustRightInd w:val="0"/>
        <w:snapToGrid w:val="0"/>
        <w:spacing w:line="276" w:lineRule="auto"/>
        <w:ind w:left="-1" w:firstLineChars="200" w:firstLine="420"/>
        <w:jc w:val="left"/>
        <w:rPr>
          <w:rFonts w:ascii="微软雅黑" w:eastAsia="微软雅黑" w:hAnsi="微软雅黑"/>
        </w:rPr>
      </w:pPr>
      <w:r w:rsidRPr="008347F2">
        <w:rPr>
          <w:rFonts w:ascii="微软雅黑" w:eastAsia="微软雅黑" w:hAnsi="微软雅黑" w:hint="eastAsia"/>
        </w:rPr>
        <w:lastRenderedPageBreak/>
        <w:t xml:space="preserve">                              </w:t>
      </w:r>
    </w:p>
    <w:p w:rsidR="004E330D" w:rsidRPr="008347F2" w:rsidRDefault="004E330D" w:rsidP="004E330D">
      <w:pPr>
        <w:autoSpaceDE w:val="0"/>
        <w:autoSpaceDN w:val="0"/>
        <w:adjustRightInd w:val="0"/>
        <w:snapToGrid w:val="0"/>
        <w:spacing w:line="276" w:lineRule="auto"/>
        <w:ind w:left="-1" w:firstLineChars="200" w:firstLine="420"/>
        <w:jc w:val="left"/>
        <w:rPr>
          <w:rFonts w:ascii="微软雅黑" w:eastAsia="微软雅黑" w:hAnsi="微软雅黑"/>
          <w:color w:val="000000"/>
          <w:sz w:val="24"/>
        </w:rPr>
      </w:pPr>
      <w:r w:rsidRPr="008347F2"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 xml:space="preserve">                                    </w:t>
      </w:r>
      <w:r w:rsidRPr="008347F2">
        <w:rPr>
          <w:rFonts w:ascii="微软雅黑" w:eastAsia="微软雅黑" w:hAnsi="微软雅黑" w:hint="eastAsia"/>
          <w:sz w:val="36"/>
          <w:szCs w:val="36"/>
        </w:rPr>
        <w:t>厂商授权委托书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授权公司：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法定代表人：                 单位地址： 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受托人：                     身份证号码：      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住址：                       单位及职务： 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授权事项：</w:t>
      </w:r>
    </w:p>
    <w:p w:rsidR="004E330D" w:rsidRPr="008347F2" w:rsidRDefault="004E330D" w:rsidP="004E330D">
      <w:pPr>
        <w:tabs>
          <w:tab w:val="left" w:pos="284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hint="eastAsia"/>
          <w:sz w:val="28"/>
        </w:rPr>
        <w:t>授权受托人代为参加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 </w:t>
      </w:r>
      <w:r>
        <w:rPr>
          <w:rFonts w:ascii="微软雅黑" w:eastAsia="微软雅黑" w:hAnsi="微软雅黑" w:hint="eastAsia"/>
          <w:bCs/>
          <w:sz w:val="28"/>
          <w:u w:val="single"/>
        </w:rPr>
        <w:t>广州</w:t>
      </w:r>
      <w:r w:rsidRPr="00CF3C58">
        <w:rPr>
          <w:rFonts w:ascii="微软雅黑" w:eastAsia="微软雅黑" w:hAnsi="微软雅黑" w:hint="eastAsia"/>
          <w:bCs/>
          <w:sz w:val="28"/>
          <w:u w:val="single"/>
        </w:rPr>
        <w:t>统一202</w:t>
      </w:r>
      <w:r w:rsidR="00126FF7">
        <w:rPr>
          <w:rFonts w:ascii="微软雅黑" w:eastAsia="微软雅黑" w:hAnsi="微软雅黑" w:hint="eastAsia"/>
          <w:bCs/>
          <w:sz w:val="28"/>
          <w:u w:val="single"/>
        </w:rPr>
        <w:t>1</w:t>
      </w:r>
      <w:r w:rsidRPr="00CF3C58">
        <w:rPr>
          <w:rFonts w:ascii="微软雅黑" w:eastAsia="微软雅黑" w:hAnsi="微软雅黑" w:hint="eastAsia"/>
          <w:bCs/>
          <w:sz w:val="28"/>
          <w:u w:val="single"/>
        </w:rPr>
        <w:t>年度下脚品外卖服务</w:t>
      </w:r>
      <w:r w:rsidRPr="00CF3C58">
        <w:rPr>
          <w:rFonts w:ascii="微软雅黑" w:eastAsia="微软雅黑" w:hAnsi="微软雅黑" w:hint="eastAsia"/>
          <w:b/>
          <w:bCs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</w:rPr>
        <w:t>项目投标活动。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授权范围：</w:t>
      </w:r>
    </w:p>
    <w:p w:rsidR="004E330D" w:rsidRPr="008347F2" w:rsidRDefault="004E330D" w:rsidP="004E330D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受托人以授权公司的名义参加</w:t>
      </w:r>
      <w:r w:rsidRPr="008347F2">
        <w:rPr>
          <w:rFonts w:ascii="微软雅黑" w:eastAsia="微软雅黑" w:hAnsi="微软雅黑" w:hint="eastAsia"/>
          <w:b/>
          <w:sz w:val="28"/>
        </w:rPr>
        <w:t>授权</w:t>
      </w:r>
      <w:r w:rsidRPr="008347F2">
        <w:rPr>
          <w:rFonts w:ascii="微软雅黑" w:eastAsia="微软雅黑" w:hAnsi="微软雅黑" w:hint="eastAsia"/>
          <w:sz w:val="28"/>
        </w:rPr>
        <w:t>范围内的投标活动，受托人在该项目中的全部投标活动，包括项目</w:t>
      </w:r>
      <w:r w:rsidRPr="008347F2">
        <w:rPr>
          <w:rFonts w:ascii="微软雅黑" w:eastAsia="微软雅黑" w:hAnsi="微软雅黑" w:hint="eastAsia"/>
          <w:b/>
          <w:sz w:val="28"/>
        </w:rPr>
        <w:t>报价、投标、议价（竞价）、合同商谈、签署</w:t>
      </w:r>
      <w:r w:rsidRPr="008347F2">
        <w:rPr>
          <w:rFonts w:ascii="微软雅黑" w:eastAsia="微软雅黑" w:hAnsi="微软雅黑" w:hint="eastAsia"/>
          <w:sz w:val="28"/>
        </w:rPr>
        <w:t>，均代表委托人的行为，</w:t>
      </w:r>
      <w:r w:rsidRPr="008347F2">
        <w:rPr>
          <w:rFonts w:ascii="微软雅黑" w:eastAsia="微软雅黑" w:hAnsi="微软雅黑" w:hint="eastAsia"/>
          <w:b/>
          <w:sz w:val="28"/>
        </w:rPr>
        <w:t>并予以承认</w:t>
      </w:r>
      <w:r w:rsidRPr="008347F2">
        <w:rPr>
          <w:rFonts w:ascii="微软雅黑" w:eastAsia="微软雅黑" w:hAnsi="微软雅黑" w:hint="eastAsia"/>
          <w:sz w:val="28"/>
        </w:rPr>
        <w:t>。</w:t>
      </w:r>
    </w:p>
    <w:p w:rsidR="004E330D" w:rsidRPr="008347F2" w:rsidRDefault="004E330D" w:rsidP="004E330D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授权期间：</w:t>
      </w:r>
    </w:p>
    <w:p w:rsidR="004E330D" w:rsidRPr="008347F2" w:rsidRDefault="004E330D" w:rsidP="004E330D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自本授权书签署之日起至上述《授权事项》中列明的</w:t>
      </w:r>
      <w:r>
        <w:rPr>
          <w:rFonts w:ascii="微软雅黑" w:eastAsia="微软雅黑" w:hAnsi="微软雅黑" w:hint="eastAsia"/>
          <w:b/>
          <w:sz w:val="28"/>
        </w:rPr>
        <w:t>广州</w:t>
      </w:r>
      <w:r w:rsidRPr="008347F2">
        <w:rPr>
          <w:rFonts w:ascii="微软雅黑" w:eastAsia="微软雅黑" w:hAnsi="微软雅黑" w:hint="eastAsia"/>
          <w:b/>
          <w:sz w:val="28"/>
        </w:rPr>
        <w:t>统一企业有限公司</w:t>
      </w:r>
      <w:r w:rsidRPr="008347F2">
        <w:rPr>
          <w:rFonts w:ascii="微软雅黑" w:eastAsia="微软雅黑" w:hAnsi="微软雅黑" w:hint="eastAsia"/>
          <w:sz w:val="28"/>
        </w:rPr>
        <w:t>项目招标活动结束时止，如中标至与招标人签订项目合同执行完毕为止。</w:t>
      </w:r>
    </w:p>
    <w:p w:rsidR="004E330D" w:rsidRPr="008347F2" w:rsidRDefault="004E330D" w:rsidP="004E330D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4E330D" w:rsidRPr="008347F2" w:rsidRDefault="004E330D" w:rsidP="004E330D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4E330D" w:rsidRPr="00CF3C58" w:rsidRDefault="004E330D" w:rsidP="004E330D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4E330D" w:rsidRPr="008347F2" w:rsidRDefault="004E330D" w:rsidP="004E330D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授权公司(盖公章)：</w:t>
      </w:r>
    </w:p>
    <w:p w:rsidR="004E330D" w:rsidRPr="008347F2" w:rsidRDefault="004E330D" w:rsidP="004E330D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法定代表人（签字）：</w:t>
      </w:r>
    </w:p>
    <w:p w:rsidR="004E330D" w:rsidRPr="008347F2" w:rsidRDefault="004E330D" w:rsidP="004E330D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            签署日期：       年    月    日</w:t>
      </w:r>
    </w:p>
    <w:p w:rsidR="004E330D" w:rsidRPr="008347F2" w:rsidRDefault="004E330D" w:rsidP="004E330D">
      <w:pPr>
        <w:autoSpaceDE w:val="0"/>
        <w:autoSpaceDN w:val="0"/>
        <w:adjustRightInd w:val="0"/>
        <w:spacing w:line="440" w:lineRule="exact"/>
        <w:jc w:val="left"/>
        <w:rPr>
          <w:rFonts w:ascii="微软雅黑" w:eastAsia="微软雅黑" w:hAnsi="微软雅黑"/>
          <w:kern w:val="0"/>
        </w:rPr>
      </w:pPr>
    </w:p>
    <w:p w:rsidR="004E330D" w:rsidRPr="008347F2" w:rsidRDefault="004E330D" w:rsidP="004E330D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16204" w:rsidRPr="00B51DB2" w:rsidRDefault="00316204" w:rsidP="004E330D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A2" w:rsidRDefault="004F7BA2">
      <w:r>
        <w:separator/>
      </w:r>
    </w:p>
  </w:endnote>
  <w:endnote w:type="continuationSeparator" w:id="0">
    <w:p w:rsidR="004F7BA2" w:rsidRDefault="004F7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96266">
      <w:rPr>
        <w:sz w:val="20"/>
      </w:rPr>
      <w:fldChar w:fldCharType="begin"/>
    </w:r>
    <w:r>
      <w:rPr>
        <w:sz w:val="20"/>
      </w:rPr>
      <w:instrText xml:space="preserve"> page </w:instrText>
    </w:r>
    <w:r w:rsidR="00E96266">
      <w:rPr>
        <w:sz w:val="20"/>
      </w:rPr>
      <w:fldChar w:fldCharType="separate"/>
    </w:r>
    <w:r w:rsidR="00E46B1C">
      <w:rPr>
        <w:noProof/>
        <w:sz w:val="20"/>
      </w:rPr>
      <w:t>3</w:t>
    </w:r>
    <w:r w:rsidR="00E96266">
      <w:rPr>
        <w:sz w:val="20"/>
      </w:rPr>
      <w:fldChar w:fldCharType="end"/>
    </w:r>
    <w:r>
      <w:rPr>
        <w:sz w:val="20"/>
      </w:rPr>
      <w:t xml:space="preserve"> / </w:t>
    </w:r>
    <w:r w:rsidR="00E96266">
      <w:rPr>
        <w:sz w:val="20"/>
      </w:rPr>
      <w:fldChar w:fldCharType="begin"/>
    </w:r>
    <w:r>
      <w:rPr>
        <w:sz w:val="20"/>
      </w:rPr>
      <w:instrText xml:space="preserve"> numpages </w:instrText>
    </w:r>
    <w:r w:rsidR="00E96266">
      <w:rPr>
        <w:sz w:val="20"/>
      </w:rPr>
      <w:fldChar w:fldCharType="separate"/>
    </w:r>
    <w:r w:rsidR="00E46B1C">
      <w:rPr>
        <w:noProof/>
        <w:sz w:val="20"/>
      </w:rPr>
      <w:t>4</w:t>
    </w:r>
    <w:r w:rsidR="00E9626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A2" w:rsidRDefault="004F7BA2">
      <w:r>
        <w:separator/>
      </w:r>
    </w:p>
  </w:footnote>
  <w:footnote w:type="continuationSeparator" w:id="0">
    <w:p w:rsidR="004F7BA2" w:rsidRDefault="004F7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B65CA4"/>
    <w:multiLevelType w:val="hybridMultilevel"/>
    <w:tmpl w:val="06CC03D4"/>
    <w:lvl w:ilvl="0" w:tplc="C85A9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7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8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0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4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0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5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7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8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3"/>
  </w:num>
  <w:num w:numId="3">
    <w:abstractNumId w:val="9"/>
  </w:num>
  <w:num w:numId="4">
    <w:abstractNumId w:val="35"/>
  </w:num>
  <w:num w:numId="5">
    <w:abstractNumId w:val="0"/>
  </w:num>
  <w:num w:numId="6">
    <w:abstractNumId w:val="18"/>
  </w:num>
  <w:num w:numId="7">
    <w:abstractNumId w:val="13"/>
  </w:num>
  <w:num w:numId="8">
    <w:abstractNumId w:val="39"/>
  </w:num>
  <w:num w:numId="9">
    <w:abstractNumId w:val="37"/>
  </w:num>
  <w:num w:numId="10">
    <w:abstractNumId w:val="10"/>
  </w:num>
  <w:num w:numId="11">
    <w:abstractNumId w:val="40"/>
  </w:num>
  <w:num w:numId="12">
    <w:abstractNumId w:val="11"/>
  </w:num>
  <w:num w:numId="13">
    <w:abstractNumId w:val="25"/>
  </w:num>
  <w:num w:numId="14">
    <w:abstractNumId w:val="20"/>
  </w:num>
  <w:num w:numId="15">
    <w:abstractNumId w:val="4"/>
  </w:num>
  <w:num w:numId="16">
    <w:abstractNumId w:val="15"/>
  </w:num>
  <w:num w:numId="17">
    <w:abstractNumId w:val="22"/>
  </w:num>
  <w:num w:numId="18">
    <w:abstractNumId w:val="34"/>
  </w:num>
  <w:num w:numId="19">
    <w:abstractNumId w:val="29"/>
  </w:num>
  <w:num w:numId="20">
    <w:abstractNumId w:val="36"/>
  </w:num>
  <w:num w:numId="21">
    <w:abstractNumId w:val="1"/>
  </w:num>
  <w:num w:numId="22">
    <w:abstractNumId w:val="38"/>
  </w:num>
  <w:num w:numId="23">
    <w:abstractNumId w:val="2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2"/>
  </w:num>
  <w:num w:numId="27">
    <w:abstractNumId w:val="8"/>
  </w:num>
  <w:num w:numId="28">
    <w:abstractNumId w:val="24"/>
  </w:num>
  <w:num w:numId="29">
    <w:abstractNumId w:val="19"/>
  </w:num>
  <w:num w:numId="30">
    <w:abstractNumId w:val="33"/>
  </w:num>
  <w:num w:numId="31">
    <w:abstractNumId w:val="21"/>
  </w:num>
  <w:num w:numId="32">
    <w:abstractNumId w:val="5"/>
  </w:num>
  <w:num w:numId="33">
    <w:abstractNumId w:val="27"/>
  </w:num>
  <w:num w:numId="34">
    <w:abstractNumId w:val="30"/>
  </w:num>
  <w:num w:numId="35">
    <w:abstractNumId w:val="26"/>
  </w:num>
  <w:num w:numId="36">
    <w:abstractNumId w:val="6"/>
  </w:num>
  <w:num w:numId="37">
    <w:abstractNumId w:val="28"/>
  </w:num>
  <w:num w:numId="38">
    <w:abstractNumId w:val="14"/>
  </w:num>
  <w:num w:numId="39">
    <w:abstractNumId w:val="17"/>
  </w:num>
  <w:num w:numId="40">
    <w:abstractNumId w:val="2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397"/>
    <w:rsid w:val="00122579"/>
    <w:rsid w:val="00126EF2"/>
    <w:rsid w:val="00126FF7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102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076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AA7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88F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04D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30D"/>
    <w:rsid w:val="004E34D6"/>
    <w:rsid w:val="004E4336"/>
    <w:rsid w:val="004E5CB6"/>
    <w:rsid w:val="004F504F"/>
    <w:rsid w:val="004F7BA2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D36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4F60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BB8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784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5CD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5B8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989"/>
    <w:rsid w:val="00924242"/>
    <w:rsid w:val="00926E0B"/>
    <w:rsid w:val="00926F98"/>
    <w:rsid w:val="00927921"/>
    <w:rsid w:val="00936B31"/>
    <w:rsid w:val="009379F3"/>
    <w:rsid w:val="00942902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4AF9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D5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F50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5D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946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55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112A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DDB"/>
    <w:rsid w:val="00E31453"/>
    <w:rsid w:val="00E33440"/>
    <w:rsid w:val="00E34A4E"/>
    <w:rsid w:val="00E3594A"/>
    <w:rsid w:val="00E36A78"/>
    <w:rsid w:val="00E40B89"/>
    <w:rsid w:val="00E40D1D"/>
    <w:rsid w:val="00E43047"/>
    <w:rsid w:val="00E43B30"/>
    <w:rsid w:val="00E44D53"/>
    <w:rsid w:val="00E45D00"/>
    <w:rsid w:val="00E460D4"/>
    <w:rsid w:val="00E46B1C"/>
    <w:rsid w:val="00E53081"/>
    <w:rsid w:val="00E531E3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26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5A4E"/>
    <w:rsid w:val="00F7140A"/>
    <w:rsid w:val="00F720AD"/>
    <w:rsid w:val="00F725AC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19C9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  <w:style w:type="table" w:styleId="af2">
    <w:name w:val="Table Grid"/>
    <w:basedOn w:val="a1"/>
    <w:uiPriority w:val="59"/>
    <w:rsid w:val="001B607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74</TotalTime>
  <Pages>4</Pages>
  <Words>531</Words>
  <Characters>3033</Characters>
  <Application>Microsoft Office Word</Application>
  <DocSecurity>0</DocSecurity>
  <Lines>25</Lines>
  <Paragraphs>7</Paragraphs>
  <ScaleCrop>false</ScaleCrop>
  <Company>Kunshan Research Institute,PEC</Company>
  <LinksUpToDate>false</LinksUpToDate>
  <CharactersWithSpaces>3557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12</cp:revision>
  <cp:lastPrinted>2017-11-14T01:02:00Z</cp:lastPrinted>
  <dcterms:created xsi:type="dcterms:W3CDTF">2020-11-16T01:23:00Z</dcterms:created>
  <dcterms:modified xsi:type="dcterms:W3CDTF">2020-12-07T11:16:00Z</dcterms:modified>
  <cp:category>标准书</cp:category>
</cp:coreProperties>
</file>