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5B" w:rsidRDefault="0083325B"/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83325B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332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招标</w:t>
            </w:r>
            <w:r w:rsidR="00316204" w:rsidRPr="008332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信息</w:t>
            </w:r>
            <w:r w:rsidR="00B835BA" w:rsidRPr="008332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公告</w:t>
            </w:r>
          </w:p>
        </w:tc>
      </w:tr>
    </w:tbl>
    <w:p w:rsidR="00B835BA" w:rsidRPr="0083325B" w:rsidRDefault="00D55770" w:rsidP="00F600B2">
      <w:pPr>
        <w:widowControl/>
        <w:shd w:val="clear" w:color="auto" w:fill="FFFFFF"/>
        <w:spacing w:line="480" w:lineRule="exact"/>
        <w:ind w:firstLineChars="177" w:firstLine="531"/>
        <w:jc w:val="left"/>
        <w:rPr>
          <w:rFonts w:ascii="微软雅黑" w:eastAsia="微软雅黑" w:hAnsi="微软雅黑" w:cs="Arial"/>
          <w:color w:val="000000"/>
          <w:kern w:val="0"/>
          <w:sz w:val="30"/>
          <w:szCs w:val="30"/>
        </w:rPr>
      </w:pPr>
      <w:r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南昌</w:t>
      </w:r>
      <w:r w:rsidR="001F370E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统一企业</w:t>
      </w:r>
      <w:r w:rsidR="00B835BA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有限公司针对</w:t>
      </w:r>
      <w:r w:rsidR="007B6F5E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20</w:t>
      </w:r>
      <w:r w:rsidR="007D6A5E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21</w:t>
      </w:r>
      <w:r w:rsidR="00B835BA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年度</w:t>
      </w:r>
      <w:r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污水在线监控设备运维</w:t>
      </w:r>
      <w:r w:rsidR="009D1D20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服务</w:t>
      </w:r>
      <w:r w:rsidR="00B835BA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项目招标</w:t>
      </w:r>
      <w:r w:rsidR="0083325B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公开</w:t>
      </w:r>
      <w:r w:rsidR="00B835BA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征集符合如下要求的服务商伙伴：</w:t>
      </w:r>
    </w:p>
    <w:p w:rsidR="00B835BA" w:rsidRPr="0083325B" w:rsidRDefault="00126EF2" w:rsidP="001E18F2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30"/>
          <w:szCs w:val="30"/>
        </w:rPr>
      </w:pPr>
      <w:r w:rsidRPr="0083325B">
        <w:rPr>
          <w:rFonts w:ascii="微软雅黑" w:eastAsia="微软雅黑" w:hAnsi="微软雅黑" w:cs="Arial" w:hint="eastAsia"/>
          <w:b/>
          <w:color w:val="000000"/>
          <w:kern w:val="0"/>
          <w:sz w:val="30"/>
          <w:szCs w:val="30"/>
        </w:rPr>
        <w:t>1、</w:t>
      </w:r>
      <w:r w:rsidR="00B835BA" w:rsidRPr="0083325B">
        <w:rPr>
          <w:rFonts w:ascii="微软雅黑" w:eastAsia="微软雅黑" w:hAnsi="微软雅黑" w:cs="Arial" w:hint="eastAsia"/>
          <w:b/>
          <w:color w:val="000000"/>
          <w:kern w:val="0"/>
          <w:sz w:val="30"/>
          <w:szCs w:val="30"/>
        </w:rPr>
        <w:t>项目概述：</w:t>
      </w:r>
    </w:p>
    <w:p w:rsidR="0083325B" w:rsidRDefault="009D1D20" w:rsidP="00F600B2">
      <w:pPr>
        <w:widowControl/>
        <w:shd w:val="clear" w:color="auto" w:fill="FFFFFF"/>
        <w:adjustRightInd w:val="0"/>
        <w:spacing w:line="500" w:lineRule="exact"/>
        <w:jc w:val="left"/>
        <w:rPr>
          <w:rFonts w:ascii="微软雅黑" w:eastAsia="微软雅黑" w:hAnsi="微软雅黑"/>
          <w:sz w:val="30"/>
          <w:szCs w:val="30"/>
        </w:rPr>
      </w:pPr>
      <w:r w:rsidRPr="0083325B">
        <w:rPr>
          <w:rFonts w:ascii="微软雅黑" w:eastAsia="微软雅黑" w:hAnsi="微软雅黑" w:cs="Arial"/>
          <w:color w:val="000000"/>
          <w:kern w:val="0"/>
          <w:sz w:val="30"/>
          <w:szCs w:val="30"/>
        </w:rPr>
        <w:t>合</w:t>
      </w:r>
      <w:r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同</w:t>
      </w:r>
      <w:r w:rsidRPr="0083325B">
        <w:rPr>
          <w:rFonts w:ascii="微软雅黑" w:eastAsia="微软雅黑" w:hAnsi="微软雅黑" w:cs="Arial"/>
          <w:color w:val="000000"/>
          <w:kern w:val="0"/>
          <w:sz w:val="30"/>
          <w:szCs w:val="30"/>
        </w:rPr>
        <w:t>时间：</w:t>
      </w:r>
      <w:r w:rsidR="00D55770" w:rsidRPr="0083325B">
        <w:rPr>
          <w:rFonts w:ascii="微软雅黑" w:eastAsia="微软雅黑" w:hAnsi="微软雅黑" w:hint="eastAsia"/>
          <w:b/>
          <w:sz w:val="30"/>
          <w:szCs w:val="30"/>
        </w:rPr>
        <w:t>20</w:t>
      </w:r>
      <w:r w:rsidR="00326416" w:rsidRPr="0083325B">
        <w:rPr>
          <w:rFonts w:ascii="微软雅黑" w:eastAsia="微软雅黑" w:hAnsi="微软雅黑" w:hint="eastAsia"/>
          <w:b/>
          <w:sz w:val="30"/>
          <w:szCs w:val="30"/>
        </w:rPr>
        <w:t>2</w:t>
      </w:r>
      <w:r w:rsidR="007D6A5E" w:rsidRPr="0083325B">
        <w:rPr>
          <w:rFonts w:ascii="微软雅黑" w:eastAsia="微软雅黑" w:hAnsi="微软雅黑" w:hint="eastAsia"/>
          <w:b/>
          <w:sz w:val="30"/>
          <w:szCs w:val="30"/>
        </w:rPr>
        <w:t>1</w:t>
      </w:r>
      <w:r w:rsidR="00D55770" w:rsidRPr="0083325B">
        <w:rPr>
          <w:rFonts w:ascii="微软雅黑" w:eastAsia="微软雅黑" w:hAnsi="微软雅黑" w:hint="eastAsia"/>
          <w:b/>
          <w:sz w:val="30"/>
          <w:szCs w:val="30"/>
        </w:rPr>
        <w:t>年1月1</w:t>
      </w:r>
      <w:r w:rsidR="007D6A5E" w:rsidRPr="0083325B">
        <w:rPr>
          <w:rFonts w:ascii="微软雅黑" w:eastAsia="微软雅黑" w:hAnsi="微软雅黑" w:hint="eastAsia"/>
          <w:b/>
          <w:sz w:val="30"/>
          <w:szCs w:val="30"/>
        </w:rPr>
        <w:t>6</w:t>
      </w:r>
      <w:r w:rsidR="00D55770" w:rsidRPr="0083325B">
        <w:rPr>
          <w:rFonts w:ascii="微软雅黑" w:eastAsia="微软雅黑" w:hAnsi="微软雅黑" w:hint="eastAsia"/>
          <w:b/>
          <w:sz w:val="30"/>
          <w:szCs w:val="30"/>
        </w:rPr>
        <w:t>日-202</w:t>
      </w:r>
      <w:r w:rsidR="007D6A5E" w:rsidRPr="0083325B">
        <w:rPr>
          <w:rFonts w:ascii="微软雅黑" w:eastAsia="微软雅黑" w:hAnsi="微软雅黑" w:hint="eastAsia"/>
          <w:b/>
          <w:sz w:val="30"/>
          <w:szCs w:val="30"/>
        </w:rPr>
        <w:t>3</w:t>
      </w:r>
      <w:r w:rsidR="00D55770" w:rsidRPr="0083325B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326416" w:rsidRPr="0083325B">
        <w:rPr>
          <w:rFonts w:ascii="微软雅黑" w:eastAsia="微软雅黑" w:hAnsi="微软雅黑" w:hint="eastAsia"/>
          <w:b/>
          <w:sz w:val="30"/>
          <w:szCs w:val="30"/>
        </w:rPr>
        <w:t>1</w:t>
      </w:r>
      <w:r w:rsidR="00D55770" w:rsidRPr="0083325B"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326416" w:rsidRPr="0083325B">
        <w:rPr>
          <w:rFonts w:ascii="微软雅黑" w:eastAsia="微软雅黑" w:hAnsi="微软雅黑" w:hint="eastAsia"/>
          <w:b/>
          <w:sz w:val="30"/>
          <w:szCs w:val="30"/>
        </w:rPr>
        <w:t>15</w:t>
      </w:r>
      <w:r w:rsidR="00D55770" w:rsidRPr="0083325B">
        <w:rPr>
          <w:rFonts w:ascii="微软雅黑" w:eastAsia="微软雅黑" w:hAnsi="微软雅黑" w:hint="eastAsia"/>
          <w:b/>
          <w:sz w:val="30"/>
          <w:szCs w:val="30"/>
        </w:rPr>
        <w:t>日</w:t>
      </w:r>
      <w:r w:rsidR="00D55770" w:rsidRPr="0083325B">
        <w:rPr>
          <w:rFonts w:ascii="微软雅黑" w:eastAsia="微软雅黑" w:hAnsi="微软雅黑" w:hint="eastAsia"/>
          <w:sz w:val="30"/>
          <w:szCs w:val="30"/>
        </w:rPr>
        <w:t>（以实际签订时间为准，期限</w:t>
      </w:r>
      <w:r w:rsidR="0083325B" w:rsidRPr="0083325B">
        <w:rPr>
          <w:rFonts w:ascii="微软雅黑" w:eastAsia="微软雅黑" w:hAnsi="微软雅黑" w:hint="eastAsia"/>
          <w:sz w:val="30"/>
          <w:szCs w:val="30"/>
        </w:rPr>
        <w:t>2年）</w:t>
      </w:r>
    </w:p>
    <w:p w:rsidR="00126EF2" w:rsidRPr="0083325B" w:rsidRDefault="00A76839" w:rsidP="0083325B">
      <w:pPr>
        <w:widowControl/>
        <w:shd w:val="clear" w:color="auto" w:fill="FFFFFF"/>
        <w:adjustRightInd w:val="0"/>
        <w:spacing w:line="240" w:lineRule="atLeast"/>
        <w:jc w:val="left"/>
        <w:rPr>
          <w:rFonts w:ascii="微软雅黑" w:eastAsia="微软雅黑" w:hAnsi="微软雅黑"/>
          <w:sz w:val="30"/>
          <w:szCs w:val="30"/>
        </w:rPr>
      </w:pPr>
      <w:r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项目地点：</w:t>
      </w:r>
      <w:r w:rsidR="00D55770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南昌市青山湖区民强路99号</w:t>
      </w:r>
    </w:p>
    <w:p w:rsidR="00126EF2" w:rsidRPr="0083325B" w:rsidRDefault="00A76839" w:rsidP="0083325B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30"/>
          <w:szCs w:val="30"/>
        </w:rPr>
      </w:pPr>
      <w:r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项目范围</w:t>
      </w:r>
      <w:r w:rsidR="00126EF2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：</w:t>
      </w:r>
      <w:r w:rsidR="00D55770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南昌</w:t>
      </w:r>
      <w:r w:rsidR="00D55770" w:rsidRPr="0083325B">
        <w:rPr>
          <w:rFonts w:ascii="微软雅黑" w:eastAsia="微软雅黑" w:hAnsi="微软雅黑" w:cs="Arial"/>
          <w:color w:val="000000"/>
          <w:kern w:val="0"/>
          <w:sz w:val="30"/>
          <w:szCs w:val="30"/>
        </w:rPr>
        <w:t>统一企业有限公司</w:t>
      </w:r>
      <w:r w:rsidR="001E18F2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2021</w:t>
      </w:r>
      <w:r w:rsidR="00D55770" w:rsidRPr="0083325B">
        <w:rPr>
          <w:rFonts w:ascii="微软雅黑" w:eastAsia="微软雅黑" w:hAnsi="微软雅黑" w:cs="Arial"/>
          <w:color w:val="000000"/>
          <w:kern w:val="0"/>
          <w:sz w:val="30"/>
          <w:szCs w:val="30"/>
        </w:rPr>
        <w:t>年</w:t>
      </w:r>
      <w:r w:rsidR="00A51286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度</w:t>
      </w:r>
      <w:r w:rsidR="00D55770"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污水在线监控设备运维</w:t>
      </w:r>
      <w:r w:rsidR="00D55770" w:rsidRPr="0083325B">
        <w:rPr>
          <w:rFonts w:ascii="微软雅黑" w:eastAsia="微软雅黑" w:hAnsi="微软雅黑" w:cs="Arial"/>
          <w:color w:val="000000"/>
          <w:kern w:val="0"/>
          <w:sz w:val="30"/>
          <w:szCs w:val="30"/>
        </w:rPr>
        <w:t>服务</w:t>
      </w:r>
    </w:p>
    <w:p w:rsidR="007E04AD" w:rsidRPr="0083325B" w:rsidRDefault="00A76839" w:rsidP="00F53EB5">
      <w:pPr>
        <w:spacing w:line="480" w:lineRule="exac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83325B">
        <w:rPr>
          <w:rFonts w:ascii="微软雅黑" w:eastAsia="微软雅黑" w:hAnsi="微软雅黑" w:cs="Arial" w:hint="eastAsia"/>
          <w:color w:val="000000"/>
          <w:kern w:val="0"/>
          <w:sz w:val="30"/>
          <w:szCs w:val="30"/>
        </w:rPr>
        <w:t>项目要求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：</w:t>
      </w:r>
      <w:r w:rsidR="00D55770"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依照“南昌统一污水在线监控设备运维方案”执行，包含但不限于以下内容：</w:t>
      </w:r>
    </w:p>
    <w:p w:rsidR="007E04AD" w:rsidRPr="0083325B" w:rsidRDefault="007E04AD" w:rsidP="00F600B2">
      <w:pPr>
        <w:spacing w:line="500" w:lineRule="exact"/>
        <w:ind w:leftChars="213" w:left="897" w:hangingChars="150" w:hanging="45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1.1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建立健全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的运维管理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制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度，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严格按照江西省环保法规执行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。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承担由于运营工作的失误，造成的环保纠纷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。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在发现现场设备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运行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或监测数据异常时，24小时内到现场，48小时内解决仪器故障问题，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必要时</w:t>
      </w:r>
      <w:r w:rsidRPr="0083325B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以书面形式提交甲方和环保部门</w:t>
      </w:r>
      <w:r w:rsidRPr="0083325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。</w:t>
      </w:r>
    </w:p>
    <w:p w:rsidR="001A775F" w:rsidRPr="00F53EB5" w:rsidRDefault="007E04AD" w:rsidP="00F600B2">
      <w:pPr>
        <w:spacing w:line="500" w:lineRule="exact"/>
        <w:ind w:leftChars="213" w:left="897" w:hangingChars="150" w:hanging="45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1.2</w:t>
      </w:r>
      <w:r w:rsidR="001A775F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承担自动监控系统运行所需的试剂及损耗材、日常维修调试费用(</w:t>
      </w:r>
      <w:r w:rsidR="00F53EB5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如配件损坏由</w:t>
      </w:r>
      <w:r w:rsidR="001A775F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甲方负责采购配件,乙方配合安装调试)。</w:t>
      </w:r>
    </w:p>
    <w:p w:rsidR="007E04AD" w:rsidRPr="00F53EB5" w:rsidRDefault="007E04AD" w:rsidP="00F600B2">
      <w:pPr>
        <w:spacing w:line="500" w:lineRule="exact"/>
        <w:ind w:leftChars="213" w:left="897" w:hangingChars="150" w:hanging="45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 xml:space="preserve">1.3 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甲方委托乙方进行运行维护的主要设备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为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：COD在线检测仪 1套。氨氮在线分析仪 1套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；超声波明渠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流量计 1台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；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PH在线分析仪 1台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；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数据采集仪 1台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；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总磷在线检测仪 1台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；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总氮在线检测仪 1台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；以及</w:t>
      </w: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系统所有附属附件。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（品牌型号见招标说明书）</w:t>
      </w:r>
    </w:p>
    <w:p w:rsidR="009D1D20" w:rsidRPr="00F53EB5" w:rsidRDefault="00126EF2" w:rsidP="00F53EB5">
      <w:pPr>
        <w:widowControl/>
        <w:shd w:val="clear" w:color="auto" w:fill="FFFFFF"/>
        <w:ind w:leftChars="46" w:left="97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保证金缴纳：投标保证金</w:t>
      </w:r>
      <w:r w:rsidR="00D55770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0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万元；履约保证金</w:t>
      </w:r>
      <w:r w:rsidR="00D55770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0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万元，具体以招标说明书为准。</w:t>
      </w:r>
    </w:p>
    <w:p w:rsidR="00B835BA" w:rsidRPr="00F53EB5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2</w:t>
      </w:r>
      <w:r w:rsidR="00126EF2" w:rsidRPr="00F53EB5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、服务</w:t>
      </w:r>
      <w:r w:rsidRPr="00F53EB5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商资质要求：</w:t>
      </w:r>
    </w:p>
    <w:p w:rsidR="00ED15CD" w:rsidRPr="00F53EB5" w:rsidRDefault="00ED15CD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A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、有效的营业执照，具备</w:t>
      </w:r>
      <w:r w:rsidR="00211E98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环境监测系统、环境治理、环境咨询、环保设备/仪器、水处理设备/仪器、技术服务、咨询等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营业范围；</w:t>
      </w:r>
    </w:p>
    <w:p w:rsidR="00ED15CD" w:rsidRPr="00F53EB5" w:rsidRDefault="00ED15CD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C、注册资本：</w:t>
      </w:r>
      <w:r w:rsidR="00211E98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无要求，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可以开具增值税发票；</w:t>
      </w:r>
    </w:p>
    <w:p w:rsidR="00126EF2" w:rsidRPr="00F53EB5" w:rsidRDefault="00ED15CD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D、公司成立时间在</w:t>
      </w:r>
      <w:r w:rsidR="00211E98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2</w:t>
      </w:r>
      <w:r w:rsidR="00126EF2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年以上（含），且具备</w:t>
      </w:r>
      <w:r w:rsidR="00211E98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具备环境监测系统、环保设备/</w:t>
      </w:r>
      <w:r w:rsidR="00211E98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lastRenderedPageBreak/>
        <w:t>仪器、水处理设备/仪器、技术服务</w:t>
      </w:r>
      <w:r w:rsidR="00126EF2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营业范围</w:t>
      </w:r>
      <w:r w:rsidR="00211E98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2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年以上（含）；</w:t>
      </w:r>
    </w:p>
    <w:p w:rsidR="00F53EB5" w:rsidRDefault="00F53EB5" w:rsidP="00B835BA">
      <w:pPr>
        <w:spacing w:line="360" w:lineRule="exact"/>
        <w:jc w:val="left"/>
        <w:rPr>
          <w:rFonts w:ascii="微软雅黑" w:eastAsia="微软雅黑" w:hAnsi="微软雅黑" w:cs="Arial"/>
          <w:color w:val="FF0000"/>
          <w:kern w:val="0"/>
          <w:sz w:val="24"/>
          <w:szCs w:val="24"/>
        </w:rPr>
      </w:pPr>
    </w:p>
    <w:p w:rsidR="00B835BA" w:rsidRPr="00DD2408" w:rsidRDefault="00126EF2" w:rsidP="00B835BA">
      <w:pPr>
        <w:spacing w:line="36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</w:pPr>
      <w:r w:rsidRPr="00DD2408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3</w:t>
      </w:r>
      <w:r w:rsidR="00B835BA" w:rsidRPr="00DD2408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、报名方式：</w:t>
      </w:r>
    </w:p>
    <w:p w:rsidR="00914CF1" w:rsidRPr="00F53EB5" w:rsidRDefault="00914CF1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A、联系人：</w:t>
      </w:r>
      <w:r w:rsid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何女士</w:t>
      </w:r>
    </w:p>
    <w:p w:rsidR="00914CF1" w:rsidRPr="00F53EB5" w:rsidRDefault="00914CF1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B、电话：</w:t>
      </w:r>
      <w:r w:rsidR="00A33B8A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 xml:space="preserve"> </w:t>
      </w:r>
      <w:r w:rsid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021-22158831/13971118909</w:t>
      </w:r>
    </w:p>
    <w:p w:rsidR="00914CF1" w:rsidRPr="00F53EB5" w:rsidRDefault="00914CF1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C、</w:t>
      </w:r>
      <w:r w:rsid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邮箱</w:t>
      </w: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：</w:t>
      </w:r>
      <w:r w:rsid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hejianxiu@pec.com.cn</w:t>
      </w:r>
    </w:p>
    <w:p w:rsidR="00B835BA" w:rsidRPr="00F53EB5" w:rsidRDefault="00126EF2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D</w:t>
      </w:r>
      <w:r w:rsidR="00B835BA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、报名时间：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20</w:t>
      </w:r>
      <w:r w:rsidR="007D6A5E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20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年</w:t>
      </w:r>
      <w:r w:rsidR="00326416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1</w:t>
      </w:r>
      <w:r w:rsidR="007D6A5E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1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月</w:t>
      </w:r>
      <w:r w:rsidR="00DD2408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09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日08时至20</w:t>
      </w:r>
      <w:r w:rsidR="007D6A5E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20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年</w:t>
      </w:r>
      <w:r w:rsidR="00326416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1</w:t>
      </w:r>
      <w:r w:rsidR="00FF4C0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1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月</w:t>
      </w:r>
      <w:r w:rsidR="00DD2408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15</w:t>
      </w:r>
      <w:r w:rsidR="00B835BA" w:rsidRPr="00DD2408">
        <w:rPr>
          <w:rFonts w:ascii="微软雅黑" w:eastAsia="微软雅黑" w:hAnsi="微软雅黑" w:cs="宋体" w:hint="eastAsia"/>
          <w:b/>
          <w:color w:val="FF0000"/>
          <w:kern w:val="0"/>
          <w:sz w:val="30"/>
          <w:szCs w:val="30"/>
        </w:rPr>
        <w:t>日17时止</w:t>
      </w:r>
    </w:p>
    <w:p w:rsidR="00B835BA" w:rsidRPr="00F53EB5" w:rsidRDefault="00126EF2" w:rsidP="00F53EB5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E</w:t>
      </w:r>
      <w:r w:rsidR="00B835BA" w:rsidRPr="00F53EB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、</w:t>
      </w:r>
      <w:r w:rsidR="00DD2408" w:rsidRP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以上各类证书、证明材料复印件加盖公章，扫描至我司邮箱审核；</w:t>
      </w:r>
    </w:p>
    <w:p w:rsidR="00DD2408" w:rsidRDefault="00DD2408" w:rsidP="00126EF2">
      <w:pPr>
        <w:widowControl/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:rsidR="00DD2408" w:rsidRPr="00DD2408" w:rsidRDefault="00DD2408" w:rsidP="00F600B2">
      <w:pPr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</w:pPr>
      <w:r w:rsidRPr="00DD2408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4、报名须知：</w:t>
      </w:r>
    </w:p>
    <w:p w:rsidR="00DD2408" w:rsidRPr="00DD2408" w:rsidRDefault="00DD2408" w:rsidP="00F600B2">
      <w:pPr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A、资质初审合格后，将统一安排参加招投标工作。</w:t>
      </w:r>
    </w:p>
    <w:p w:rsidR="00DD2408" w:rsidRPr="00DD2408" w:rsidRDefault="00DD2408" w:rsidP="00F600B2">
      <w:pPr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DD2408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B、若投标公司所提供资料有作假情况，一律列入统一集团黑名单中。</w:t>
      </w:r>
    </w:p>
    <w:p w:rsidR="00DD2408" w:rsidRDefault="00DD2408" w:rsidP="009F5628">
      <w:pPr>
        <w:spacing w:line="360" w:lineRule="exact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:rsidR="00F600B2" w:rsidRPr="00F600B2" w:rsidRDefault="00F600B2" w:rsidP="00F600B2">
      <w:pPr>
        <w:spacing w:line="360" w:lineRule="exact"/>
        <w:ind w:leftChars="136" w:left="637" w:hangingChars="117" w:hanging="351"/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</w:pPr>
      <w:r w:rsidRPr="00F600B2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5、反腐直通车：</w:t>
      </w:r>
    </w:p>
    <w:p w:rsidR="00F600B2" w:rsidRPr="00F600B2" w:rsidRDefault="00F600B2" w:rsidP="00F600B2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600B2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A、为拓宽服务商沟通、监督的渠道，及时制止、查处违纪违法行为，本公司内审部特设置反贪腐直通车，欢迎监督，如实举报。</w:t>
      </w:r>
    </w:p>
    <w:p w:rsidR="00F600B2" w:rsidRPr="00F600B2" w:rsidRDefault="00F600B2" w:rsidP="00F600B2">
      <w:pPr>
        <w:spacing w:line="500" w:lineRule="exact"/>
        <w:ind w:leftChars="136" w:left="637" w:hangingChars="117" w:hanging="35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F600B2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B、内审投诉（反贪腐直通车）：</w:t>
      </w:r>
      <w:r w:rsidRPr="00F600B2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邮箱（fanfu@pec.com.cn）、电话 （18221429653）。</w:t>
      </w:r>
    </w:p>
    <w:p w:rsidR="00F600B2" w:rsidRPr="00F600B2" w:rsidRDefault="00F600B2" w:rsidP="00F600B2">
      <w:pPr>
        <w:spacing w:line="360" w:lineRule="exact"/>
        <w:ind w:leftChars="136" w:left="637" w:hangingChars="117" w:hanging="351"/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</w:pPr>
    </w:p>
    <w:p w:rsidR="009F5628" w:rsidRPr="00F600B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F600B2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7979DC" w:rsidRDefault="00B835BA" w:rsidP="00126EF2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4C1D65">
        <w:rPr>
          <w:rFonts w:ascii="宋体" w:hAnsi="宋体" w:hint="eastAsia"/>
          <w:bCs/>
          <w:sz w:val="20"/>
          <w:szCs w:val="24"/>
          <w:u w:val="single"/>
        </w:rPr>
        <w:t>南昌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4C1D65" w:rsidRPr="007979DC">
        <w:rPr>
          <w:rFonts w:ascii="宋体" w:hAnsi="宋体" w:hint="eastAsia"/>
          <w:bCs/>
          <w:sz w:val="20"/>
          <w:szCs w:val="24"/>
          <w:u w:val="single"/>
        </w:rPr>
        <w:t>20</w:t>
      </w:r>
      <w:r w:rsidR="007D6A5E">
        <w:rPr>
          <w:rFonts w:ascii="宋体" w:hAnsi="宋体" w:hint="eastAsia"/>
          <w:bCs/>
          <w:sz w:val="20"/>
          <w:szCs w:val="24"/>
          <w:u w:val="single"/>
        </w:rPr>
        <w:t>21</w:t>
      </w:r>
      <w:r w:rsidR="004C1D65" w:rsidRPr="007979DC">
        <w:rPr>
          <w:rFonts w:ascii="宋体" w:hAnsi="宋体" w:hint="eastAsia"/>
          <w:bCs/>
          <w:sz w:val="20"/>
          <w:szCs w:val="24"/>
          <w:u w:val="single"/>
        </w:rPr>
        <w:t>度污水在线监控设备运维服务项目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EF2626" w:rsidRPr="00840659" w:rsidTr="00863A99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EF2626" w:rsidRPr="00126EF2" w:rsidRDefault="00EF2626" w:rsidP="00863A9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EF2626" w:rsidRPr="00126EF2" w:rsidRDefault="00EF2626" w:rsidP="00863A99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EF2626" w:rsidRPr="00840659" w:rsidTr="00863A99">
        <w:trPr>
          <w:trHeight w:val="523"/>
        </w:trPr>
        <w:tc>
          <w:tcPr>
            <w:tcW w:w="534" w:type="dxa"/>
            <w:vMerge w:val="restart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EF2626" w:rsidRPr="00840659" w:rsidTr="00863A99">
        <w:trPr>
          <w:trHeight w:val="559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559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540"/>
        </w:trPr>
        <w:tc>
          <w:tcPr>
            <w:tcW w:w="534" w:type="dxa"/>
            <w:vMerge w:val="restart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EF2626" w:rsidRPr="00120DCE" w:rsidRDefault="00EF2626" w:rsidP="0086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EF2626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EF2626" w:rsidRPr="00840659" w:rsidTr="00863A99">
        <w:trPr>
          <w:trHeight w:val="540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540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540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540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EF2626" w:rsidRPr="00840659" w:rsidTr="00863A99">
        <w:trPr>
          <w:trHeight w:val="540"/>
        </w:trPr>
        <w:tc>
          <w:tcPr>
            <w:tcW w:w="534" w:type="dxa"/>
            <w:vMerge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F2626" w:rsidRPr="00835701" w:rsidRDefault="00EF2626" w:rsidP="0086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EF2626" w:rsidRPr="00840659" w:rsidTr="00863A99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EF2626" w:rsidRPr="00840659" w:rsidTr="00863A99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EF2626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126EF2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EF2626" w:rsidRPr="00840659" w:rsidTr="00863A99">
        <w:trPr>
          <w:trHeight w:val="405"/>
        </w:trPr>
        <w:tc>
          <w:tcPr>
            <w:tcW w:w="2093" w:type="dxa"/>
            <w:gridSpan w:val="2"/>
            <w:vAlign w:val="center"/>
          </w:tcPr>
          <w:p w:rsidR="00EF2626" w:rsidRPr="00126EF2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458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 w:rsidR="00EF2626" w:rsidRPr="009745D6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EF2626" w:rsidRPr="00840659" w:rsidRDefault="00EF2626" w:rsidP="00863A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EF2626" w:rsidRPr="00840659" w:rsidTr="00863A99">
        <w:trPr>
          <w:trHeight w:val="457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EF2626" w:rsidRPr="00840659" w:rsidRDefault="00EF2626" w:rsidP="00863A99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EF2626" w:rsidRPr="00840659" w:rsidRDefault="00EF2626" w:rsidP="00863A99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EF2626" w:rsidRPr="00840659" w:rsidTr="00863A99">
        <w:trPr>
          <w:trHeight w:val="977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F2626" w:rsidRPr="00840659" w:rsidTr="00863A99">
        <w:trPr>
          <w:trHeight w:val="991"/>
        </w:trPr>
        <w:tc>
          <w:tcPr>
            <w:tcW w:w="2093" w:type="dxa"/>
            <w:gridSpan w:val="2"/>
            <w:vAlign w:val="center"/>
          </w:tcPr>
          <w:p w:rsidR="00EF2626" w:rsidRPr="00840659" w:rsidRDefault="00EF2626" w:rsidP="00863A99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EF2626" w:rsidRPr="00840659" w:rsidRDefault="00EF2626" w:rsidP="00863A99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法定代表人：单位地址：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：身份证号码：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住址：单位及职务：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7979DC" w:rsidRPr="00E72ECF">
        <w:rPr>
          <w:rFonts w:hint="eastAsia"/>
          <w:sz w:val="28"/>
          <w:u w:val="single"/>
        </w:rPr>
        <w:t>南昌</w:t>
      </w:r>
      <w:r w:rsidRPr="00E72ECF">
        <w:rPr>
          <w:rFonts w:hint="eastAsia"/>
          <w:sz w:val="28"/>
          <w:u w:val="single"/>
        </w:rPr>
        <w:t>统一企业有限公司</w:t>
      </w:r>
      <w:r w:rsidR="007979DC" w:rsidRPr="00E72ECF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  <w:u w:val="single"/>
        </w:rPr>
        <w:t>20</w:t>
      </w:r>
      <w:r w:rsidR="007D6A5E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  <w:u w:val="single"/>
        </w:rPr>
        <w:t>21</w:t>
      </w:r>
      <w:r w:rsidR="007979DC" w:rsidRPr="00E72ECF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  <w:u w:val="single"/>
        </w:rPr>
        <w:t>年度污水在线监控设备运维</w:t>
      </w:r>
      <w:r w:rsidR="005B5999">
        <w:rPr>
          <w:rFonts w:hint="eastAsia"/>
          <w:sz w:val="28"/>
        </w:rPr>
        <w:t>服务项</w:t>
      </w:r>
      <w:r>
        <w:rPr>
          <w:rFonts w:hint="eastAsia"/>
          <w:sz w:val="28"/>
        </w:rPr>
        <w:t>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979DC">
        <w:rPr>
          <w:rFonts w:hint="eastAsia"/>
          <w:b/>
          <w:sz w:val="28"/>
        </w:rPr>
        <w:t>南昌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E1082F" w:rsidRDefault="00B835BA" w:rsidP="00E1082F">
      <w:pPr>
        <w:spacing w:line="360" w:lineRule="auto"/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E1082F" w:rsidRDefault="00B835BA" w:rsidP="00E1082F">
      <w:pPr>
        <w:spacing w:line="360" w:lineRule="auto"/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法定代表人（签字）：</w:t>
      </w:r>
    </w:p>
    <w:p w:rsidR="00B835BA" w:rsidRDefault="00B835BA" w:rsidP="00E1082F">
      <w:pPr>
        <w:spacing w:line="360" w:lineRule="auto"/>
        <w:ind w:firstLineChars="1800" w:firstLine="5040"/>
        <w:rPr>
          <w:sz w:val="28"/>
        </w:rPr>
      </w:pPr>
      <w:r>
        <w:rPr>
          <w:rFonts w:hint="eastAsia"/>
          <w:sz w:val="28"/>
        </w:rPr>
        <w:t>签署日期：</w:t>
      </w:r>
      <w:r w:rsidR="00326416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 w:rsidR="00326416">
        <w:rPr>
          <w:rFonts w:hint="eastAsia"/>
          <w:sz w:val="28"/>
        </w:rPr>
        <w:t xml:space="preserve">    </w:t>
      </w:r>
      <w:r w:rsidR="00326416">
        <w:rPr>
          <w:rFonts w:hint="eastAsia"/>
          <w:sz w:val="28"/>
        </w:rPr>
        <w:t>月</w:t>
      </w:r>
      <w:r w:rsidR="00326416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7979DC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7979DC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830" w:rsidRDefault="006C6830">
      <w:r>
        <w:separator/>
      </w:r>
    </w:p>
  </w:endnote>
  <w:endnote w:type="continuationSeparator" w:id="1">
    <w:p w:rsidR="006C6830" w:rsidRDefault="006C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B6160">
      <w:rPr>
        <w:sz w:val="20"/>
      </w:rPr>
      <w:fldChar w:fldCharType="begin"/>
    </w:r>
    <w:r>
      <w:rPr>
        <w:sz w:val="20"/>
      </w:rPr>
      <w:instrText xml:space="preserve"> page </w:instrText>
    </w:r>
    <w:r w:rsidR="005B6160">
      <w:rPr>
        <w:sz w:val="20"/>
      </w:rPr>
      <w:fldChar w:fldCharType="separate"/>
    </w:r>
    <w:r w:rsidR="003D63E9">
      <w:rPr>
        <w:noProof/>
        <w:sz w:val="20"/>
      </w:rPr>
      <w:t>3</w:t>
    </w:r>
    <w:r w:rsidR="005B6160">
      <w:rPr>
        <w:sz w:val="20"/>
      </w:rPr>
      <w:fldChar w:fldCharType="end"/>
    </w:r>
    <w:r>
      <w:rPr>
        <w:sz w:val="20"/>
      </w:rPr>
      <w:t xml:space="preserve"> / </w:t>
    </w:r>
    <w:r w:rsidR="005B6160">
      <w:rPr>
        <w:sz w:val="20"/>
      </w:rPr>
      <w:fldChar w:fldCharType="begin"/>
    </w:r>
    <w:r>
      <w:rPr>
        <w:sz w:val="20"/>
      </w:rPr>
      <w:instrText xml:space="preserve"> numpages </w:instrText>
    </w:r>
    <w:r w:rsidR="005B6160">
      <w:rPr>
        <w:sz w:val="20"/>
      </w:rPr>
      <w:fldChar w:fldCharType="separate"/>
    </w:r>
    <w:r w:rsidR="003D63E9">
      <w:rPr>
        <w:noProof/>
        <w:sz w:val="20"/>
      </w:rPr>
      <w:t>4</w:t>
    </w:r>
    <w:r w:rsidR="005B616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830" w:rsidRDefault="006C6830">
      <w:r>
        <w:separator/>
      </w:r>
    </w:p>
  </w:footnote>
  <w:footnote w:type="continuationSeparator" w:id="1">
    <w:p w:rsidR="006C6830" w:rsidRDefault="006C6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1FC"/>
    <w:rsid w:val="000576C9"/>
    <w:rsid w:val="0005777D"/>
    <w:rsid w:val="00057D40"/>
    <w:rsid w:val="00060B70"/>
    <w:rsid w:val="0006113A"/>
    <w:rsid w:val="00061EE1"/>
    <w:rsid w:val="000629E9"/>
    <w:rsid w:val="00063835"/>
    <w:rsid w:val="00072798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5D2E"/>
    <w:rsid w:val="000B7787"/>
    <w:rsid w:val="000B7818"/>
    <w:rsid w:val="000B7834"/>
    <w:rsid w:val="000C1552"/>
    <w:rsid w:val="000C1BF3"/>
    <w:rsid w:val="000C2AF4"/>
    <w:rsid w:val="000C3416"/>
    <w:rsid w:val="000C3EF6"/>
    <w:rsid w:val="000D09A6"/>
    <w:rsid w:val="000D10F6"/>
    <w:rsid w:val="000D2B64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775F"/>
    <w:rsid w:val="001C0DE2"/>
    <w:rsid w:val="001C1EC2"/>
    <w:rsid w:val="001C654D"/>
    <w:rsid w:val="001D2CFE"/>
    <w:rsid w:val="001D3D9D"/>
    <w:rsid w:val="001D4160"/>
    <w:rsid w:val="001D51C5"/>
    <w:rsid w:val="001D742D"/>
    <w:rsid w:val="001E07F6"/>
    <w:rsid w:val="001E18F2"/>
    <w:rsid w:val="001E3321"/>
    <w:rsid w:val="001E5111"/>
    <w:rsid w:val="001F370E"/>
    <w:rsid w:val="00201D5B"/>
    <w:rsid w:val="0020454D"/>
    <w:rsid w:val="00205796"/>
    <w:rsid w:val="00211E98"/>
    <w:rsid w:val="002156C2"/>
    <w:rsid w:val="00215A08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CBC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777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64CD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416"/>
    <w:rsid w:val="0033034A"/>
    <w:rsid w:val="00332B2F"/>
    <w:rsid w:val="003366C1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FE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3E9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446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5A2"/>
    <w:rsid w:val="004A6826"/>
    <w:rsid w:val="004B3B4E"/>
    <w:rsid w:val="004B4123"/>
    <w:rsid w:val="004C1D65"/>
    <w:rsid w:val="004C217C"/>
    <w:rsid w:val="004C3AC1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493D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5C0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17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6160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6026"/>
    <w:rsid w:val="00617CD8"/>
    <w:rsid w:val="00620AD9"/>
    <w:rsid w:val="00624C28"/>
    <w:rsid w:val="00625CBF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6830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1AC3"/>
    <w:rsid w:val="00722FE3"/>
    <w:rsid w:val="00723AED"/>
    <w:rsid w:val="00724957"/>
    <w:rsid w:val="0072719C"/>
    <w:rsid w:val="0073344D"/>
    <w:rsid w:val="00734ED6"/>
    <w:rsid w:val="00735F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7B1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9DC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A5E"/>
    <w:rsid w:val="007D6C46"/>
    <w:rsid w:val="007E04AD"/>
    <w:rsid w:val="007E137C"/>
    <w:rsid w:val="007E3B16"/>
    <w:rsid w:val="007E3CB8"/>
    <w:rsid w:val="007E5084"/>
    <w:rsid w:val="007E5A02"/>
    <w:rsid w:val="007E5CCB"/>
    <w:rsid w:val="007E71C4"/>
    <w:rsid w:val="007F1679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25B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123F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08F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521B"/>
    <w:rsid w:val="009F16E1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3B8A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286"/>
    <w:rsid w:val="00A51E39"/>
    <w:rsid w:val="00A5479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0B9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17618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6D6C"/>
    <w:rsid w:val="00B80ED8"/>
    <w:rsid w:val="00B8122E"/>
    <w:rsid w:val="00B8177C"/>
    <w:rsid w:val="00B81C86"/>
    <w:rsid w:val="00B82561"/>
    <w:rsid w:val="00B835BA"/>
    <w:rsid w:val="00B8548A"/>
    <w:rsid w:val="00B869A7"/>
    <w:rsid w:val="00B902BC"/>
    <w:rsid w:val="00B922CE"/>
    <w:rsid w:val="00B97264"/>
    <w:rsid w:val="00B97F5E"/>
    <w:rsid w:val="00BA1D02"/>
    <w:rsid w:val="00BA5091"/>
    <w:rsid w:val="00BA6D0A"/>
    <w:rsid w:val="00BB1305"/>
    <w:rsid w:val="00BB1A52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577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408"/>
    <w:rsid w:val="00DD4811"/>
    <w:rsid w:val="00DD48F9"/>
    <w:rsid w:val="00DE0126"/>
    <w:rsid w:val="00DE1DB8"/>
    <w:rsid w:val="00DE25DE"/>
    <w:rsid w:val="00DE3C96"/>
    <w:rsid w:val="00DE71BA"/>
    <w:rsid w:val="00DE754B"/>
    <w:rsid w:val="00DF1DBB"/>
    <w:rsid w:val="00DF41A4"/>
    <w:rsid w:val="00DF5B2B"/>
    <w:rsid w:val="00DF6673"/>
    <w:rsid w:val="00E00097"/>
    <w:rsid w:val="00E053FA"/>
    <w:rsid w:val="00E05B8A"/>
    <w:rsid w:val="00E06253"/>
    <w:rsid w:val="00E10310"/>
    <w:rsid w:val="00E1082F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2ECF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7BBF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0990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626"/>
    <w:rsid w:val="00EF2A37"/>
    <w:rsid w:val="00EF650D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3EB5"/>
    <w:rsid w:val="00F547E1"/>
    <w:rsid w:val="00F5527B"/>
    <w:rsid w:val="00F55936"/>
    <w:rsid w:val="00F55B75"/>
    <w:rsid w:val="00F55D74"/>
    <w:rsid w:val="00F572D8"/>
    <w:rsid w:val="00F600B2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30F4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C0A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229</TotalTime>
  <Pages>4</Pages>
  <Words>318</Words>
  <Characters>1814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2128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53</cp:revision>
  <cp:lastPrinted>2019-06-20T12:41:00Z</cp:lastPrinted>
  <dcterms:created xsi:type="dcterms:W3CDTF">2019-06-20T12:03:00Z</dcterms:created>
  <dcterms:modified xsi:type="dcterms:W3CDTF">2020-11-05T00:56:00Z</dcterms:modified>
  <cp:category>标准书</cp:category>
</cp:coreProperties>
</file>