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ind w:right="420"/>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firstLine="720" w:firstLineChars="200"/>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济南统一企业有限公司</w:t>
      </w:r>
      <w:r>
        <w:rPr>
          <w:rFonts w:hint="eastAsia" w:ascii="微软雅黑" w:hAnsi="微软雅黑" w:eastAsia="微软雅黑"/>
          <w:b/>
          <w:bCs/>
          <w:sz w:val="36"/>
          <w:szCs w:val="36"/>
        </w:rPr>
        <w:t>成品资材仓库劳务外包</w:t>
      </w:r>
      <w:r>
        <w:rPr>
          <w:rFonts w:hint="eastAsia" w:ascii="微软雅黑" w:hAnsi="微软雅黑" w:eastAsia="微软雅黑"/>
          <w:b/>
          <w:sz w:val="36"/>
          <w:szCs w:val="36"/>
        </w:rPr>
        <w:t>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b/>
          <w:color w:val="333333"/>
          <w:sz w:val="30"/>
          <w:szCs w:val="30"/>
        </w:rPr>
      </w:pPr>
    </w:p>
    <w:p>
      <w:pPr>
        <w:spacing w:line="360" w:lineRule="exact"/>
        <w:jc w:val="center"/>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日期：2020年04月21日</w:t>
      </w:r>
    </w:p>
    <w:p>
      <w:pPr>
        <w:spacing w:line="360" w:lineRule="exact"/>
        <w:jc w:val="center"/>
        <w:rPr>
          <w:rFonts w:ascii="微软雅黑" w:hAnsi="微软雅黑" w:eastAsia="微软雅黑"/>
          <w:b/>
          <w:color w:val="333333"/>
          <w:sz w:val="30"/>
          <w:szCs w:val="30"/>
        </w:rPr>
      </w:pPr>
      <w:bookmarkStart w:id="0" w:name="_GoBack"/>
      <w:bookmarkEnd w:id="0"/>
    </w:p>
    <w:p>
      <w:pPr>
        <w:spacing w:line="360" w:lineRule="exact"/>
        <w:jc w:val="center"/>
        <w:rPr>
          <w:rFonts w:ascii="微软雅黑" w:hAnsi="微软雅黑" w:eastAsia="微软雅黑"/>
          <w:b/>
          <w:color w:val="333333"/>
          <w:sz w:val="30"/>
          <w:szCs w:val="30"/>
        </w:rPr>
      </w:pPr>
    </w:p>
    <w:p>
      <w:pPr>
        <w:spacing w:line="360" w:lineRule="exact"/>
        <w:rPr>
          <w:rFonts w:ascii="微软雅黑" w:hAnsi="微软雅黑" w:eastAsia="微软雅黑"/>
          <w:b/>
          <w:sz w:val="28"/>
          <w:szCs w:val="28"/>
        </w:rPr>
      </w:pPr>
    </w:p>
    <w:tbl>
      <w:tblPr>
        <w:tblStyle w:val="10"/>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rPr>
                <w:rFonts w:ascii="微软雅黑" w:hAnsi="微软雅黑" w:eastAsia="微软雅黑" w:cs="宋体"/>
                <w:b/>
                <w:bCs/>
                <w:color w:val="000000"/>
                <w:kern w:val="0"/>
                <w:sz w:val="13"/>
                <w:szCs w:val="13"/>
              </w:rPr>
            </w:pPr>
          </w:p>
          <w:p>
            <w:pPr>
              <w:widowControl/>
              <w:spacing w:line="360" w:lineRule="exact"/>
              <w:rPr>
                <w:rFonts w:ascii="微软雅黑" w:hAnsi="微软雅黑" w:eastAsia="微软雅黑" w:cs="宋体"/>
                <w:b/>
                <w:bCs/>
                <w:color w:val="000000"/>
                <w:kern w:val="0"/>
                <w:sz w:val="30"/>
                <w:szCs w:val="30"/>
              </w:rPr>
            </w:pPr>
          </w:p>
        </w:tc>
      </w:tr>
    </w:tbl>
    <w:p>
      <w:pPr>
        <w:ind w:right="420"/>
        <w:jc w:val="center"/>
        <w:rPr>
          <w:rFonts w:ascii="微软雅黑" w:hAnsi="微软雅黑" w:eastAsia="微软雅黑" w:cs="Arial"/>
          <w:b/>
          <w:color w:val="000000"/>
          <w:kern w:val="0"/>
          <w:sz w:val="28"/>
          <w:szCs w:val="24"/>
        </w:rPr>
      </w:pPr>
      <w:r>
        <w:rPr>
          <w:rFonts w:hint="eastAsia" w:ascii="微软雅黑" w:hAnsi="微软雅黑" w:eastAsia="微软雅黑" w:cs="Arial"/>
          <w:b/>
          <w:color w:val="000000"/>
          <w:kern w:val="0"/>
          <w:sz w:val="28"/>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济南统一企业有限公司（</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w:t>
      </w:r>
      <w:r>
        <w:rPr>
          <w:rFonts w:hint="eastAsia" w:ascii="微软雅黑" w:hAnsi="微软雅黑" w:eastAsia="微软雅黑" w:cs="Arial"/>
          <w:b/>
          <w:color w:val="000000"/>
          <w:kern w:val="0"/>
          <w:sz w:val="24"/>
          <w:szCs w:val="24"/>
        </w:rPr>
        <w:t>成品资材仓库劳务外包服务项目</w:t>
      </w:r>
      <w:r>
        <w:rPr>
          <w:rFonts w:hint="eastAsia" w:ascii="微软雅黑" w:hAnsi="微软雅黑" w:eastAsia="微软雅黑" w:cs="Arial"/>
          <w:color w:val="000000"/>
          <w:kern w:val="0"/>
          <w:sz w:val="24"/>
          <w:szCs w:val="24"/>
        </w:rPr>
        <w:t>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07</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06</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30</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项目地点：山东省济南市济阳区济北开发区统一大街301号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项目范围：主要负责产成品装卸、资材原物料装卸、行销品装卸、成品转板打膜、美吉面装/卸货、食品备散板、产品盖章、组合装及生产进仓等。</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成品每日最大出货量：食品7万、饮料13万；上班时间以甲方现场主管通知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保证金缴纳：投标保证金5万元；履约保证金10万元，具体以招标说明书为准。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 具备劳务外包或劳务派遣或劳务服务或搬运或装卸的营业范围1年（含）以上（含）。</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有意向之服务商，可至统一企业慧采平台（</w:t>
      </w:r>
      <w:r>
        <w:rPr>
          <w:rFonts w:ascii="微软雅黑" w:hAnsi="微软雅黑" w:eastAsia="微软雅黑" w:cs="Arial"/>
          <w:color w:val="000000"/>
          <w:kern w:val="0"/>
          <w:sz w:val="24"/>
          <w:szCs w:val="24"/>
        </w:rPr>
        <w:t>https://huicai.pec.com.cn</w:t>
      </w:r>
      <w:r>
        <w:rPr>
          <w:rFonts w:hint="eastAsia" w:ascii="微软雅黑" w:hAnsi="微软雅黑" w:eastAsia="微软雅黑" w:cs="Arial"/>
          <w:color w:val="000000"/>
          <w:kern w:val="0"/>
          <w:sz w:val="24"/>
          <w:szCs w:val="24"/>
        </w:rPr>
        <w:t>）进行注册报名。</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、报名咨询人：项先生</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、电话：0512-57710307（17625638091）</w:t>
      </w:r>
    </w:p>
    <w:p>
      <w:pPr>
        <w:spacing w:line="360" w:lineRule="exact"/>
        <w:ind w:left="565" w:leftChars="193" w:hanging="160" w:hangingChars="6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000000"/>
          <w:kern w:val="0"/>
          <w:sz w:val="24"/>
          <w:szCs w:val="24"/>
        </w:rPr>
        <w:t>2020年04月21日12时至2020年05月06日08时止</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A、审核合格后，将由统一公司安排实地评鉴工作。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2</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default"/>
        <w:sz w:val="10"/>
        <w:lang w:val="en-US"/>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lang w:val="en-US" w:eastAsia="zh-CN"/>
      </w:rPr>
      <w:t xml:space="preserve">                                 </w:t>
    </w:r>
    <w:r>
      <w:rPr>
        <w:rFonts w:hint="eastAsia"/>
        <w:kern w:val="2"/>
        <w:sz w:val="24"/>
        <w:szCs w:val="24"/>
        <w:lang w:val="en-US" w:eastAsia="zh-CN" w:bidi="ar-SA"/>
      </w:rPr>
      <w:t>编号</w:t>
    </w:r>
    <w:r>
      <w:rPr>
        <w:rFonts w:hint="eastAsia"/>
        <w:kern w:val="2"/>
        <w:sz w:val="28"/>
        <w:szCs w:val="28"/>
        <w:lang w:val="en-US" w:eastAsia="zh-CN" w:bidi="ar-SA"/>
      </w:rPr>
      <w:t>： 20200400013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83"/>
    <w:rsid w:val="000B0032"/>
    <w:rsid w:val="000B1FC5"/>
    <w:rsid w:val="000F0DDF"/>
    <w:rsid w:val="001006B3"/>
    <w:rsid w:val="00115C35"/>
    <w:rsid w:val="00127F12"/>
    <w:rsid w:val="00170074"/>
    <w:rsid w:val="001963C1"/>
    <w:rsid w:val="001F0193"/>
    <w:rsid w:val="0022286C"/>
    <w:rsid w:val="00244F2C"/>
    <w:rsid w:val="002544D7"/>
    <w:rsid w:val="00296565"/>
    <w:rsid w:val="002A6F7C"/>
    <w:rsid w:val="002B51DB"/>
    <w:rsid w:val="002C1176"/>
    <w:rsid w:val="0033569B"/>
    <w:rsid w:val="003D5C3E"/>
    <w:rsid w:val="003D6A37"/>
    <w:rsid w:val="004174A9"/>
    <w:rsid w:val="00437999"/>
    <w:rsid w:val="004A51B1"/>
    <w:rsid w:val="004B2201"/>
    <w:rsid w:val="004B7414"/>
    <w:rsid w:val="00510E0B"/>
    <w:rsid w:val="0053330F"/>
    <w:rsid w:val="00592645"/>
    <w:rsid w:val="005C35EC"/>
    <w:rsid w:val="00623C0F"/>
    <w:rsid w:val="00624785"/>
    <w:rsid w:val="00671A5C"/>
    <w:rsid w:val="006A080E"/>
    <w:rsid w:val="006A3382"/>
    <w:rsid w:val="00716C8E"/>
    <w:rsid w:val="00781A10"/>
    <w:rsid w:val="00782B14"/>
    <w:rsid w:val="007C1799"/>
    <w:rsid w:val="007E24AD"/>
    <w:rsid w:val="008112DD"/>
    <w:rsid w:val="00883F5C"/>
    <w:rsid w:val="008A1EF1"/>
    <w:rsid w:val="008E3F13"/>
    <w:rsid w:val="00942071"/>
    <w:rsid w:val="00952606"/>
    <w:rsid w:val="009F67EC"/>
    <w:rsid w:val="00A32FD3"/>
    <w:rsid w:val="00AA168E"/>
    <w:rsid w:val="00AB0991"/>
    <w:rsid w:val="00AC226D"/>
    <w:rsid w:val="00AE50E5"/>
    <w:rsid w:val="00B60596"/>
    <w:rsid w:val="00BB5A92"/>
    <w:rsid w:val="00C46F9C"/>
    <w:rsid w:val="00C779A2"/>
    <w:rsid w:val="00CB2715"/>
    <w:rsid w:val="00D20549"/>
    <w:rsid w:val="00D57635"/>
    <w:rsid w:val="00D90104"/>
    <w:rsid w:val="00DA2DC1"/>
    <w:rsid w:val="00DA3F39"/>
    <w:rsid w:val="00DB0564"/>
    <w:rsid w:val="00E37EBD"/>
    <w:rsid w:val="00E7693F"/>
    <w:rsid w:val="00EC15DE"/>
    <w:rsid w:val="00ED3921"/>
    <w:rsid w:val="00F14A45"/>
    <w:rsid w:val="00F15583"/>
    <w:rsid w:val="00F62E52"/>
    <w:rsid w:val="00F80AD8"/>
    <w:rsid w:val="00FC2101"/>
    <w:rsid w:val="1DD313D9"/>
    <w:rsid w:val="20A47EDA"/>
    <w:rsid w:val="4A543BEE"/>
    <w:rsid w:val="73202809"/>
    <w:rsid w:val="786C2FD2"/>
    <w:rsid w:val="7DFF4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unhideWhenUsed/>
    <w:uiPriority w:val="99"/>
    <w:rPr>
      <w:rFonts w:ascii="宋体"/>
      <w:sz w:val="18"/>
      <w:szCs w:val="18"/>
    </w:rPr>
  </w:style>
  <w:style w:type="paragraph" w:styleId="5">
    <w:name w:val="annotation text"/>
    <w:basedOn w:val="1"/>
    <w:link w:val="15"/>
    <w:semiHidden/>
    <w:unhideWhenUsed/>
    <w:uiPriority w:val="0"/>
    <w:pPr>
      <w:jc w:val="left"/>
    </w:pPr>
  </w:style>
  <w:style w:type="paragraph" w:styleId="6">
    <w:name w:val="Balloon Text"/>
    <w:basedOn w:val="1"/>
    <w:link w:val="16"/>
    <w:semiHidden/>
    <w:unhideWhenUsed/>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annotation reference"/>
    <w:basedOn w:val="11"/>
    <w:semiHidden/>
    <w:unhideWhenUsed/>
    <w:uiPriority w:val="0"/>
    <w:rPr>
      <w:sz w:val="21"/>
      <w:szCs w:val="21"/>
    </w:rPr>
  </w:style>
  <w:style w:type="character" w:customStyle="1" w:styleId="13">
    <w:name w:val="页眉 Char"/>
    <w:basedOn w:val="11"/>
    <w:link w:val="8"/>
    <w:semiHidden/>
    <w:uiPriority w:val="99"/>
    <w:rPr>
      <w:sz w:val="18"/>
      <w:szCs w:val="18"/>
    </w:rPr>
  </w:style>
  <w:style w:type="character" w:customStyle="1" w:styleId="14">
    <w:name w:val="页脚 Char"/>
    <w:basedOn w:val="11"/>
    <w:link w:val="7"/>
    <w:uiPriority w:val="99"/>
    <w:rPr>
      <w:sz w:val="18"/>
      <w:szCs w:val="18"/>
    </w:rPr>
  </w:style>
  <w:style w:type="character" w:customStyle="1" w:styleId="15">
    <w:name w:val="批注文字 Char"/>
    <w:basedOn w:val="11"/>
    <w:link w:val="5"/>
    <w:semiHidden/>
    <w:uiPriority w:val="0"/>
    <w:rPr>
      <w:rFonts w:ascii="Times New Roman" w:hAnsi="Times New Roman" w:eastAsia="宋体" w:cs="Times New Roman"/>
      <w:szCs w:val="20"/>
    </w:rPr>
  </w:style>
  <w:style w:type="character" w:customStyle="1" w:styleId="16">
    <w:name w:val="批注框文本 Char"/>
    <w:basedOn w:val="11"/>
    <w:link w:val="6"/>
    <w:semiHidden/>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文档结构图 Char"/>
    <w:basedOn w:val="11"/>
    <w:link w:val="4"/>
    <w:semiHidden/>
    <w:uiPriority w:val="99"/>
    <w:rPr>
      <w:rFonts w:ascii="宋体" w:hAnsi="Times New Roman" w:eastAsia="宋体" w:cs="Times New Roman"/>
      <w:sz w:val="18"/>
      <w:szCs w:val="18"/>
    </w:rPr>
  </w:style>
  <w:style w:type="character" w:customStyle="1" w:styleId="19">
    <w:name w:val="标题 2 Char"/>
    <w:basedOn w:val="11"/>
    <w:link w:val="3"/>
    <w:semiHidden/>
    <w:uiPriority w:val="9"/>
    <w:rPr>
      <w:rFonts w:asciiTheme="majorHAnsi" w:hAnsiTheme="majorHAnsi" w:eastAsiaTheme="majorEastAsia" w:cstheme="majorBidi"/>
      <w:b/>
      <w:bCs/>
      <w:sz w:val="32"/>
      <w:szCs w:val="32"/>
    </w:rPr>
  </w:style>
  <w:style w:type="character" w:customStyle="1" w:styleId="20">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38449-77D0-4A32-AF83-22596F09FC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135</Words>
  <Characters>770</Characters>
  <Lines>6</Lines>
  <Paragraphs>1</Paragraphs>
  <TotalTime>1</TotalTime>
  <ScaleCrop>false</ScaleCrop>
  <LinksUpToDate>false</LinksUpToDate>
  <CharactersWithSpaces>904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孙薇</cp:lastModifiedBy>
  <dcterms:modified xsi:type="dcterms:W3CDTF">2020-04-21T00:19:34Z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