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南昌统一20</w:t>
      </w:r>
      <w:r>
        <w:rPr>
          <w:rFonts w:ascii="微软雅黑" w:hAnsi="微软雅黑" w:eastAsia="微软雅黑"/>
          <w:b/>
          <w:color w:val="333333"/>
          <w:sz w:val="36"/>
          <w:szCs w:val="36"/>
        </w:rPr>
        <w:t>20</w:t>
      </w:r>
      <w:r>
        <w:rPr>
          <w:rFonts w:hint="eastAsia" w:ascii="微软雅黑" w:hAnsi="微软雅黑" w:eastAsia="微软雅黑"/>
          <w:b/>
          <w:color w:val="333333"/>
          <w:sz w:val="36"/>
          <w:szCs w:val="36"/>
        </w:rPr>
        <w:t>年度下脚品外卖服务项目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7770"/>
        </w:tabs>
        <w:spacing w:line="360" w:lineRule="exact"/>
        <w:rPr>
          <w:rFonts w:ascii="微软雅黑" w:hAnsi="微软雅黑" w:eastAsia="微软雅黑"/>
          <w:sz w:val="24"/>
        </w:rPr>
      </w:pPr>
      <w:r>
        <w:rPr>
          <w:rFonts w:ascii="微软雅黑" w:hAnsi="微软雅黑" w:eastAsia="微软雅黑"/>
          <w:sz w:val="24"/>
        </w:rPr>
        <w:tab/>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bookmarkStart w:id="0" w:name="_GoBack"/>
      <w:bookmarkEnd w:id="0"/>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3419" w:firstLineChars="1139"/>
        <w:rPr>
          <w:rFonts w:ascii="微软雅黑" w:hAnsi="微软雅黑" w:eastAsia="微软雅黑"/>
          <w:b/>
          <w:color w:val="333333"/>
          <w:sz w:val="30"/>
          <w:szCs w:val="30"/>
        </w:rPr>
      </w:pPr>
      <w:r>
        <w:rPr>
          <w:rFonts w:hint="eastAsia" w:ascii="微软雅黑" w:hAnsi="微软雅黑" w:eastAsia="微软雅黑"/>
          <w:b/>
          <w:color w:val="333333"/>
          <w:sz w:val="30"/>
          <w:szCs w:val="30"/>
        </w:rPr>
        <w:t>日期：20</w:t>
      </w:r>
      <w:r>
        <w:rPr>
          <w:rFonts w:ascii="微软雅黑" w:hAnsi="微软雅黑" w:eastAsia="微软雅黑"/>
          <w:b/>
          <w:color w:val="333333"/>
          <w:sz w:val="30"/>
          <w:szCs w:val="30"/>
        </w:rPr>
        <w:t>20</w:t>
      </w:r>
      <w:r>
        <w:rPr>
          <w:rFonts w:hint="eastAsia" w:ascii="微软雅黑" w:hAnsi="微软雅黑" w:eastAsia="微软雅黑"/>
          <w:b/>
          <w:color w:val="333333"/>
          <w:sz w:val="30"/>
          <w:szCs w:val="30"/>
        </w:rPr>
        <w:t>年</w:t>
      </w:r>
      <w:r>
        <w:rPr>
          <w:rFonts w:ascii="微软雅黑" w:hAnsi="微软雅黑" w:eastAsia="微软雅黑"/>
          <w:b/>
          <w:color w:val="333333"/>
          <w:sz w:val="30"/>
          <w:szCs w:val="30"/>
        </w:rPr>
        <w:t>04</w:t>
      </w:r>
      <w:r>
        <w:rPr>
          <w:rFonts w:hint="eastAsia" w:ascii="微软雅黑" w:hAnsi="微软雅黑" w:eastAsia="微软雅黑"/>
          <w:b/>
          <w:color w:val="333333"/>
          <w:sz w:val="30"/>
          <w:szCs w:val="30"/>
        </w:rPr>
        <w:t>月1</w:t>
      </w:r>
      <w:r>
        <w:rPr>
          <w:rFonts w:hint="eastAsia" w:ascii="微软雅黑" w:hAnsi="微软雅黑" w:eastAsia="微软雅黑"/>
          <w:b/>
          <w:color w:val="333333"/>
          <w:sz w:val="30"/>
          <w:szCs w:val="30"/>
          <w:lang w:val="en-US" w:eastAsia="zh-CN"/>
        </w:rPr>
        <w:t>8</w:t>
      </w:r>
      <w:r>
        <w:rPr>
          <w:rFonts w:hint="eastAsia" w:ascii="微软雅黑" w:hAnsi="微软雅黑" w:eastAsia="微软雅黑"/>
          <w:b/>
          <w:color w:val="333333"/>
          <w:sz w:val="30"/>
          <w:szCs w:val="30"/>
        </w:rPr>
        <w:t>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南昌统一针对</w:t>
      </w:r>
      <w:r>
        <w:rPr>
          <w:rFonts w:ascii="微软雅黑" w:hAnsi="微软雅黑" w:eastAsia="微软雅黑" w:cs="Arial"/>
          <w:color w:val="000000"/>
          <w:kern w:val="0"/>
          <w:sz w:val="24"/>
          <w:szCs w:val="24"/>
        </w:rPr>
        <w:t>2020</w:t>
      </w:r>
      <w:r>
        <w:rPr>
          <w:rFonts w:hint="eastAsia" w:ascii="微软雅黑" w:hAnsi="微软雅黑" w:eastAsia="微软雅黑" w:cs="Arial"/>
          <w:color w:val="000000"/>
          <w:kern w:val="0"/>
          <w:sz w:val="24"/>
          <w:szCs w:val="24"/>
        </w:rPr>
        <w:t>年下脚品外卖服务项目招标，公开征集符合如下要求的服务商伙伴。具体内容如下：</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firstLine="141" w:firstLineChars="59"/>
        <w:jc w:val="left"/>
        <w:rPr>
          <w:rFonts w:ascii="微软雅黑" w:hAnsi="微软雅黑" w:eastAsia="微软雅黑" w:cs="Arial"/>
          <w:color w:val="000000"/>
          <w:kern w:val="0"/>
          <w:sz w:val="24"/>
          <w:szCs w:val="24"/>
          <w:highlight w:val="none"/>
        </w:rPr>
      </w:pPr>
      <w:r>
        <w:rPr>
          <w:rFonts w:ascii="微软雅黑" w:hAnsi="微软雅黑" w:eastAsia="微软雅黑" w:cs="Arial"/>
          <w:color w:val="000000"/>
          <w:kern w:val="0"/>
          <w:sz w:val="24"/>
          <w:szCs w:val="24"/>
        </w:rPr>
        <w:t>1.1合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w:t>
      </w:r>
      <w:r>
        <w:rPr>
          <w:rFonts w:ascii="微软雅黑" w:hAnsi="微软雅黑" w:eastAsia="微软雅黑" w:cs="Arial"/>
          <w:color w:val="000000"/>
          <w:kern w:val="0"/>
          <w:sz w:val="24"/>
          <w:szCs w:val="24"/>
          <w:highlight w:val="none"/>
        </w:rPr>
        <w:t>：2020年05月01日至2021年</w:t>
      </w:r>
      <w:r>
        <w:rPr>
          <w:rFonts w:hint="eastAsia" w:ascii="微软雅黑" w:hAnsi="微软雅黑" w:eastAsia="微软雅黑" w:cs="Arial"/>
          <w:color w:val="000000"/>
          <w:kern w:val="0"/>
          <w:sz w:val="24"/>
          <w:szCs w:val="24"/>
          <w:highlight w:val="none"/>
        </w:rPr>
        <w:t>0</w:t>
      </w:r>
      <w:r>
        <w:rPr>
          <w:rFonts w:ascii="微软雅黑" w:hAnsi="微软雅黑" w:eastAsia="微软雅黑" w:cs="Arial"/>
          <w:color w:val="000000"/>
          <w:kern w:val="0"/>
          <w:sz w:val="24"/>
          <w:szCs w:val="24"/>
          <w:highlight w:val="none"/>
        </w:rPr>
        <w:t>5月31日</w:t>
      </w:r>
      <w:r>
        <w:rPr>
          <w:rFonts w:hint="eastAsia" w:ascii="微软雅黑" w:hAnsi="微软雅黑" w:eastAsia="微软雅黑" w:cs="Arial"/>
          <w:color w:val="000000"/>
          <w:kern w:val="0"/>
          <w:sz w:val="24"/>
          <w:szCs w:val="24"/>
          <w:highlight w:val="none"/>
        </w:rPr>
        <w:t>（以实际签订时间为准）</w:t>
      </w:r>
    </w:p>
    <w:p>
      <w:pPr>
        <w:widowControl/>
        <w:shd w:val="clear" w:color="auto" w:fill="FFFFFF"/>
        <w:ind w:firstLine="141" w:firstLineChars="59"/>
        <w:jc w:val="left"/>
        <w:rPr>
          <w:rFonts w:ascii="微软雅黑" w:hAnsi="微软雅黑" w:eastAsia="微软雅黑" w:cs="Arial"/>
          <w:color w:val="000000"/>
          <w:kern w:val="0"/>
          <w:sz w:val="24"/>
          <w:szCs w:val="24"/>
          <w:highlight w:val="none"/>
        </w:rPr>
      </w:pPr>
      <w:r>
        <w:rPr>
          <w:rFonts w:ascii="微软雅黑" w:hAnsi="微软雅黑" w:eastAsia="微软雅黑" w:cs="Arial"/>
          <w:color w:val="000000"/>
          <w:kern w:val="0"/>
          <w:sz w:val="24"/>
          <w:szCs w:val="24"/>
          <w:highlight w:val="none"/>
        </w:rPr>
        <w:t>1.2</w:t>
      </w:r>
      <w:r>
        <w:rPr>
          <w:rFonts w:hint="eastAsia" w:ascii="微软雅黑" w:hAnsi="微软雅黑" w:eastAsia="微软雅黑" w:cs="Arial"/>
          <w:color w:val="000000"/>
          <w:kern w:val="0"/>
          <w:sz w:val="24"/>
          <w:szCs w:val="24"/>
          <w:highlight w:val="none"/>
        </w:rPr>
        <w:t>项目分类说明</w:t>
      </w:r>
      <w:r>
        <w:rPr>
          <w:rFonts w:ascii="微软雅黑" w:hAnsi="微软雅黑" w:eastAsia="微软雅黑" w:cs="Arial"/>
          <w:color w:val="000000"/>
          <w:kern w:val="0"/>
          <w:sz w:val="24"/>
          <w:szCs w:val="24"/>
          <w:highlight w:val="none"/>
        </w:rPr>
        <w:t xml:space="preserve">： </w:t>
      </w:r>
    </w:p>
    <w:tbl>
      <w:tblPr>
        <w:tblStyle w:val="13"/>
        <w:tblW w:w="10493" w:type="dxa"/>
        <w:tblInd w:w="279" w:type="dxa"/>
        <w:tblLayout w:type="autofit"/>
        <w:tblCellMar>
          <w:top w:w="0" w:type="dxa"/>
          <w:left w:w="108" w:type="dxa"/>
          <w:bottom w:w="0" w:type="dxa"/>
          <w:right w:w="108" w:type="dxa"/>
        </w:tblCellMar>
      </w:tblPr>
      <w:tblGrid>
        <w:gridCol w:w="472"/>
        <w:gridCol w:w="472"/>
        <w:gridCol w:w="1658"/>
        <w:gridCol w:w="814"/>
        <w:gridCol w:w="7077"/>
      </w:tblGrid>
      <w:tr>
        <w:tblPrEx>
          <w:tblCellMar>
            <w:top w:w="0" w:type="dxa"/>
            <w:left w:w="108" w:type="dxa"/>
            <w:bottom w:w="0" w:type="dxa"/>
            <w:right w:w="108" w:type="dxa"/>
          </w:tblCellMar>
        </w:tblPrEx>
        <w:trPr>
          <w:trHeight w:val="354" w:hRule="atLeast"/>
        </w:trPr>
        <w:tc>
          <w:tcPr>
            <w:tcW w:w="2602" w:type="dxa"/>
            <w:gridSpan w:val="3"/>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微软雅黑" w:hAnsi="微软雅黑" w:eastAsia="微软雅黑" w:cs="宋体"/>
                <w:b/>
                <w:bCs/>
                <w:color w:val="000000"/>
                <w:kern w:val="0"/>
                <w:sz w:val="20"/>
              </w:rPr>
            </w:pPr>
            <w:r>
              <w:rPr>
                <w:rFonts w:hint="eastAsia" w:ascii="微软雅黑" w:hAnsi="微软雅黑" w:eastAsia="微软雅黑" w:cs="宋体"/>
                <w:b/>
                <w:bCs/>
                <w:color w:val="000000"/>
                <w:kern w:val="0"/>
                <w:sz w:val="20"/>
              </w:rPr>
              <w:t>项目</w:t>
            </w:r>
          </w:p>
        </w:tc>
        <w:tc>
          <w:tcPr>
            <w:tcW w:w="81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b/>
                <w:bCs/>
                <w:color w:val="000000"/>
                <w:kern w:val="0"/>
                <w:sz w:val="20"/>
              </w:rPr>
            </w:pPr>
            <w:r>
              <w:rPr>
                <w:rFonts w:hint="eastAsia" w:ascii="微软雅黑" w:hAnsi="微软雅黑" w:eastAsia="微软雅黑" w:cs="宋体"/>
                <w:b/>
                <w:bCs/>
                <w:color w:val="000000"/>
                <w:kern w:val="0"/>
                <w:sz w:val="20"/>
              </w:rPr>
              <w:t>计价单位</w:t>
            </w:r>
          </w:p>
        </w:tc>
        <w:tc>
          <w:tcPr>
            <w:tcW w:w="707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b/>
                <w:bCs/>
                <w:color w:val="000000"/>
                <w:kern w:val="0"/>
                <w:sz w:val="20"/>
              </w:rPr>
            </w:pPr>
            <w:r>
              <w:rPr>
                <w:rFonts w:hint="eastAsia" w:ascii="微软雅黑" w:hAnsi="微软雅黑" w:eastAsia="微软雅黑" w:cs="宋体"/>
                <w:b/>
                <w:bCs/>
                <w:color w:val="000000"/>
                <w:kern w:val="0"/>
                <w:sz w:val="20"/>
              </w:rPr>
              <w:t>定义</w:t>
            </w:r>
          </w:p>
        </w:tc>
      </w:tr>
      <w:tr>
        <w:tblPrEx>
          <w:tblCellMar>
            <w:top w:w="0" w:type="dxa"/>
            <w:left w:w="108" w:type="dxa"/>
            <w:bottom w:w="0" w:type="dxa"/>
            <w:right w:w="108" w:type="dxa"/>
          </w:tblCellMar>
        </w:tblPrEx>
        <w:trPr>
          <w:trHeight w:val="354" w:hRule="atLeast"/>
        </w:trPr>
        <w:tc>
          <w:tcPr>
            <w:tcW w:w="260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jc w:val="left"/>
              <w:rPr>
                <w:rFonts w:ascii="微软雅黑" w:hAnsi="微软雅黑" w:eastAsia="微软雅黑" w:cs="宋体"/>
                <w:b/>
                <w:bCs/>
                <w:color w:val="000000"/>
                <w:kern w:val="0"/>
                <w:sz w:val="20"/>
              </w:rPr>
            </w:pPr>
          </w:p>
        </w:tc>
        <w:tc>
          <w:tcPr>
            <w:tcW w:w="814"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b/>
                <w:bCs/>
                <w:color w:val="000000"/>
                <w:kern w:val="0"/>
                <w:sz w:val="20"/>
              </w:rPr>
            </w:pPr>
          </w:p>
        </w:tc>
        <w:tc>
          <w:tcPr>
            <w:tcW w:w="7077"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b/>
                <w:bCs/>
                <w:color w:val="000000"/>
                <w:kern w:val="0"/>
                <w:sz w:val="20"/>
              </w:rPr>
            </w:pPr>
          </w:p>
        </w:tc>
      </w:tr>
      <w:tr>
        <w:tblPrEx>
          <w:tblCellMar>
            <w:top w:w="0" w:type="dxa"/>
            <w:left w:w="108" w:type="dxa"/>
            <w:bottom w:w="0" w:type="dxa"/>
            <w:right w:w="108" w:type="dxa"/>
          </w:tblCellMar>
        </w:tblPrEx>
        <w:trPr>
          <w:trHeight w:val="299" w:hRule="atLeast"/>
        </w:trPr>
        <w:tc>
          <w:tcPr>
            <w:tcW w:w="47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一般类</w:t>
            </w: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废纸类</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瓶盖纸箱</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olor w:val="000000"/>
                <w:kern w:val="0"/>
                <w:sz w:val="20"/>
              </w:rPr>
            </w:pPr>
            <w:r>
              <w:rPr>
                <w:rFonts w:hint="eastAsia" w:ascii="微软雅黑" w:hAnsi="微软雅黑" w:eastAsia="微软雅黑"/>
                <w:color w:val="000000"/>
                <w:sz w:val="20"/>
              </w:rPr>
              <w:t>完好的瓶盖纸箱（依现场招标说明会实物确认为准）</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标签纸箱</w:t>
            </w:r>
          </w:p>
        </w:tc>
        <w:tc>
          <w:tcPr>
            <w:tcW w:w="814" w:type="dxa"/>
            <w:tcBorders>
              <w:top w:val="nil"/>
              <w:left w:val="nil"/>
              <w:bottom w:val="single" w:color="auto" w:sz="4" w:space="0"/>
              <w:right w:val="single" w:color="auto" w:sz="4" w:space="0"/>
            </w:tcBorders>
            <w:shd w:val="clear" w:color="auto" w:fill="auto"/>
            <w:noWrap/>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完好的标签纸箱（依现场招标说明会实物确认为准）</w:t>
            </w:r>
          </w:p>
        </w:tc>
      </w:tr>
      <w:tr>
        <w:tblPrEx>
          <w:tblCellMar>
            <w:top w:w="0" w:type="dxa"/>
            <w:left w:w="108" w:type="dxa"/>
            <w:bottom w:w="0" w:type="dxa"/>
            <w:right w:w="108" w:type="dxa"/>
          </w:tblCellMar>
        </w:tblPrEx>
        <w:trPr>
          <w:trHeight w:val="466"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废纸板</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除按个售卖的瓶盖、纸碗、标签纸箱外的其他纸箱（含破损的按个售卖纸箱）</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硬纸板</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包装类卷芯、原料纸筒、缠绕膜卷芯、设备包装硬纸板等其他与前述材质一致的硬纸板</w:t>
            </w:r>
          </w:p>
        </w:tc>
      </w:tr>
      <w:tr>
        <w:tblPrEx>
          <w:tblCellMar>
            <w:top w:w="0" w:type="dxa"/>
            <w:left w:w="108" w:type="dxa"/>
            <w:bottom w:w="0" w:type="dxa"/>
            <w:right w:w="108" w:type="dxa"/>
          </w:tblCellMar>
        </w:tblPrEx>
        <w:trPr>
          <w:trHeight w:val="628"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编织袋类</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白糖编织口袋</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完好的白糖编织口袋（含内袋）</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聚脂切片口袋</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完好的聚酯切片口袋</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废塑料类</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PET白料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无色P</w:t>
            </w:r>
            <w:r>
              <w:rPr>
                <w:rFonts w:ascii="微软雅黑" w:hAnsi="微软雅黑" w:eastAsia="微软雅黑"/>
                <w:color w:val="000000"/>
                <w:sz w:val="20"/>
              </w:rPr>
              <w:t>ET</w:t>
            </w:r>
            <w:r>
              <w:rPr>
                <w:rFonts w:hint="eastAsia" w:ascii="微软雅黑" w:hAnsi="微软雅黑" w:eastAsia="微软雅黑"/>
                <w:color w:val="000000"/>
                <w:sz w:val="20"/>
              </w:rPr>
              <w:t>瓶胚、无色P</w:t>
            </w:r>
            <w:r>
              <w:rPr>
                <w:rFonts w:ascii="微软雅黑" w:hAnsi="微软雅黑" w:eastAsia="微软雅黑"/>
                <w:color w:val="000000"/>
                <w:sz w:val="20"/>
              </w:rPr>
              <w:t>ET</w:t>
            </w:r>
            <w:r>
              <w:rPr>
                <w:rFonts w:hint="eastAsia" w:ascii="微软雅黑" w:hAnsi="微软雅黑" w:eastAsia="微软雅黑"/>
                <w:color w:val="000000"/>
                <w:sz w:val="20"/>
              </w:rPr>
              <w:t>空瓶、饮料成品报废后的无色P</w:t>
            </w:r>
            <w:r>
              <w:rPr>
                <w:rFonts w:ascii="微软雅黑" w:hAnsi="微软雅黑" w:eastAsia="微软雅黑"/>
                <w:color w:val="000000"/>
                <w:sz w:val="20"/>
              </w:rPr>
              <w:t>ET</w:t>
            </w:r>
            <w:r>
              <w:rPr>
                <w:rFonts w:hint="eastAsia" w:ascii="微软雅黑" w:hAnsi="微软雅黑" w:eastAsia="微软雅黑"/>
                <w:color w:val="000000"/>
                <w:sz w:val="20"/>
              </w:rPr>
              <w:t>空瓶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PET有色料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有色P</w:t>
            </w:r>
            <w:r>
              <w:rPr>
                <w:rFonts w:ascii="微软雅黑" w:hAnsi="微软雅黑" w:eastAsia="微软雅黑"/>
                <w:color w:val="000000"/>
                <w:sz w:val="20"/>
              </w:rPr>
              <w:t>ET</w:t>
            </w:r>
            <w:r>
              <w:rPr>
                <w:rFonts w:hint="eastAsia" w:ascii="微软雅黑" w:hAnsi="微软雅黑" w:eastAsia="微软雅黑"/>
                <w:color w:val="000000"/>
                <w:sz w:val="20"/>
              </w:rPr>
              <w:t>瓶胚、有色P</w:t>
            </w:r>
            <w:r>
              <w:rPr>
                <w:rFonts w:ascii="微软雅黑" w:hAnsi="微软雅黑" w:eastAsia="微软雅黑"/>
                <w:color w:val="000000"/>
                <w:sz w:val="20"/>
              </w:rPr>
              <w:t>ET</w:t>
            </w:r>
            <w:r>
              <w:rPr>
                <w:rFonts w:hint="eastAsia" w:ascii="微软雅黑" w:hAnsi="微软雅黑" w:eastAsia="微软雅黑"/>
                <w:color w:val="000000"/>
                <w:sz w:val="20"/>
              </w:rPr>
              <w:t>空瓶、饮料成品报废后的有色P</w:t>
            </w:r>
            <w:r>
              <w:rPr>
                <w:rFonts w:ascii="微软雅黑" w:hAnsi="微软雅黑" w:eastAsia="微软雅黑"/>
                <w:color w:val="000000"/>
                <w:sz w:val="20"/>
              </w:rPr>
              <w:t>ET</w:t>
            </w:r>
            <w:r>
              <w:rPr>
                <w:rFonts w:hint="eastAsia" w:ascii="微软雅黑" w:hAnsi="微软雅黑" w:eastAsia="微软雅黑"/>
                <w:color w:val="000000"/>
                <w:sz w:val="20"/>
              </w:rPr>
              <w:t>空瓶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w:t>
            </w:r>
            <w:r>
              <w:rPr>
                <w:rFonts w:ascii="微软雅黑" w:hAnsi="微软雅黑" w:eastAsia="微软雅黑" w:cs="宋体"/>
                <w:color w:val="000000"/>
                <w:kern w:val="0"/>
                <w:sz w:val="20"/>
              </w:rPr>
              <w:t>ET</w:t>
            </w:r>
            <w:r>
              <w:rPr>
                <w:rFonts w:hint="eastAsia" w:ascii="微软雅黑" w:hAnsi="微软雅黑" w:eastAsia="微软雅黑" w:cs="宋体"/>
                <w:color w:val="000000"/>
                <w:kern w:val="0"/>
                <w:sz w:val="20"/>
              </w:rPr>
              <w:t>开机废料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sz w:val="20"/>
              </w:rPr>
            </w:pPr>
            <w:r>
              <w:rPr>
                <w:rFonts w:hint="eastAsia" w:ascii="微软雅黑" w:hAnsi="微软雅黑" w:eastAsia="微软雅黑"/>
                <w:sz w:val="20"/>
              </w:rPr>
              <w:t>PET瓶胚开机时的废料（含有色、无色、杂色）</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PP、PE料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sz w:val="20"/>
              </w:rPr>
            </w:pPr>
            <w:r>
              <w:rPr>
                <w:rFonts w:hint="eastAsia" w:ascii="微软雅黑" w:hAnsi="微软雅黑" w:eastAsia="微软雅黑"/>
                <w:sz w:val="20"/>
              </w:rPr>
              <w:t>冷藏线PP杯、饮料瓶盖等其他PP、PE类塑料</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废塑料膜</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PE塑料膜、PE塑料袋、食品原物料塑料内袋（不含被液体、半固体污染的内袋）、饮料原物料塑料内袋（不含被液体、半固体污染的内袋）、废塑料膜（含收缩膜、缠绕膜）等其他与前述材质一致的塑料膜</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nil"/>
              <w:right w:val="nil"/>
            </w:tcBorders>
            <w:shd w:val="clear" w:color="auto" w:fill="auto"/>
            <w:noWrap/>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塑料桶</w:t>
            </w:r>
          </w:p>
        </w:tc>
        <w:tc>
          <w:tcPr>
            <w:tcW w:w="814"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食品添加剂桶、醋桶、酱油桶、香精桶、咖啡桶、食用酒精桶等其他与前述材质一致的塑料桶（不含危废类空桶）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废保丽纸</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sz w:val="20"/>
              </w:rPr>
            </w:pPr>
            <w:r>
              <w:rPr>
                <w:rFonts w:hint="eastAsia" w:ascii="微软雅黑" w:hAnsi="微软雅黑" w:eastAsia="微软雅黑"/>
                <w:sz w:val="20"/>
              </w:rPr>
              <w:t>废保丽纸（含成品报废后的保利纸包装袋）、废标签纸（含成品报废后的标签纸）</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left w:val="single" w:color="auto" w:sz="4" w:space="0"/>
              <w:bottom w:val="nil"/>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杂塑料</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①PP管、PPR管、橡胶管、高压管等各种报废的塑料管；②纸箱外面的打包带；③废旧轮胎（含空心、实心叉车轮胎、汽车轮胎）；④破损、污染的编织袋；⑤污染的各种塑料袋（如：果汁内袋、葡萄糖浆内袋等）；⑥污染的色拉油桶；⑦泡沫箱、泡沫板；⑧其他与上述描述材质一致的其他塑料制品；</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废金属</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废生熟铁</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sz w:val="20"/>
              </w:rPr>
            </w:pPr>
            <w:r>
              <w:rPr>
                <w:rFonts w:hint="eastAsia" w:ascii="微软雅黑" w:hAnsi="微软雅黑" w:eastAsia="微软雅黑"/>
                <w:sz w:val="20"/>
              </w:rPr>
              <w:t>①报废的铁质零件；②报废的大小铁罐；③报废的各种铁质材料边角料；④报废的铁质设备或资产；⑤与上述相近的其他生熟铁料；</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废不锈钢</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废不锈钢（含201、304、316）</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废铝及铝合金</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废铝合金、报废的AC罐、废铝芯电缆线（含外皮）；</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废铜</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①报废的铜质零件（如：铜梳、铜刮、铜套等）及设备；②空调等制冷设备报废的铜管；③报废的铜芯电缆线（含外皮）；④电机铜线圈；</w:t>
            </w:r>
          </w:p>
        </w:tc>
      </w:tr>
      <w:tr>
        <w:tblPrEx>
          <w:tblCellMar>
            <w:top w:w="0" w:type="dxa"/>
            <w:left w:w="108" w:type="dxa"/>
            <w:bottom w:w="0" w:type="dxa"/>
            <w:right w:w="108" w:type="dxa"/>
          </w:tblCellMar>
        </w:tblPrEx>
        <w:trPr>
          <w:trHeight w:val="517"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废铁桶</w:t>
            </w: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完整空桶</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成套果汁原浆空铁桶、大豆油桶、番茄汁桶等与前述类似的其他空桶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有损空桶</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元/个</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缺盖、硬伤型变形或破损原浆桶、大豆油桶、番茄汁桶等等与前述类似的其他空桶</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其他类</w:t>
            </w:r>
          </w:p>
        </w:tc>
        <w:tc>
          <w:tcPr>
            <w:tcW w:w="165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废活性炭</w:t>
            </w:r>
          </w:p>
        </w:tc>
        <w:tc>
          <w:tcPr>
            <w:tcW w:w="81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微软雅黑" w:hAnsi="微软雅黑" w:eastAsia="微软雅黑" w:cs="宋体"/>
                <w:color w:val="000000"/>
                <w:kern w:val="0"/>
                <w:sz w:val="20"/>
              </w:rPr>
            </w:pPr>
            <w:r>
              <w:rPr>
                <w:rFonts w:hint="eastAsia" w:ascii="微软雅黑" w:hAnsi="微软雅黑" w:eastAsia="微软雅黑" w:cs="宋体"/>
                <w:color w:val="000000"/>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废活性炭（非危废品）</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废塑料栈板</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元/吨</w:t>
            </w:r>
          </w:p>
        </w:tc>
        <w:tc>
          <w:tcPr>
            <w:tcW w:w="7077" w:type="dxa"/>
            <w:tcBorders>
              <w:top w:val="nil"/>
              <w:left w:val="nil"/>
              <w:bottom w:val="single" w:color="auto" w:sz="4" w:space="0"/>
              <w:right w:val="single" w:color="auto" w:sz="4" w:space="0"/>
            </w:tcBorders>
            <w:shd w:val="clear" w:color="auto" w:fill="auto"/>
            <w:noWrap/>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报废的塑料栈板（公司所有部门）</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废木材</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报废木栈板、设备木箱、木制层板、木质家具等</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废IT设备</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报废电脑（包含主机、显示器）、打印机、传真机、投影机、相机等</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废制冷设备</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报废废冰柜/废冰箱</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废空调</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报废的空调（含内机和外机）</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废热饮机</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元/台</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报废热饮机、饮水机</w:t>
            </w:r>
          </w:p>
        </w:tc>
      </w:tr>
      <w:tr>
        <w:tblPrEx>
          <w:tblCellMar>
            <w:top w:w="0" w:type="dxa"/>
            <w:left w:w="108" w:type="dxa"/>
            <w:bottom w:w="0" w:type="dxa"/>
            <w:right w:w="108" w:type="dxa"/>
          </w:tblCellMar>
        </w:tblPrEx>
        <w:trPr>
          <w:trHeight w:val="299" w:hRule="atLeast"/>
        </w:trPr>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color w:val="000000"/>
                <w:kern w:val="0"/>
                <w:sz w:val="20"/>
              </w:rPr>
            </w:pPr>
          </w:p>
        </w:tc>
        <w:tc>
          <w:tcPr>
            <w:tcW w:w="472"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jc w:val="left"/>
              <w:rPr>
                <w:rFonts w:ascii="微软雅黑" w:hAnsi="微软雅黑" w:eastAsia="微软雅黑" w:cs="宋体"/>
                <w:kern w:val="0"/>
                <w:sz w:val="20"/>
              </w:rPr>
            </w:pPr>
          </w:p>
        </w:tc>
        <w:tc>
          <w:tcPr>
            <w:tcW w:w="1658"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微软雅黑" w:hAnsi="微软雅黑" w:eastAsia="微软雅黑" w:cs="宋体"/>
                <w:kern w:val="0"/>
                <w:sz w:val="20"/>
              </w:rPr>
            </w:pPr>
            <w:r>
              <w:rPr>
                <w:rFonts w:hint="eastAsia" w:ascii="微软雅黑" w:hAnsi="微软雅黑" w:eastAsia="微软雅黑" w:cs="宋体"/>
                <w:kern w:val="0"/>
                <w:sz w:val="20"/>
              </w:rPr>
              <w:t>废复合包装袋</w:t>
            </w:r>
          </w:p>
        </w:tc>
        <w:tc>
          <w:tcPr>
            <w:tcW w:w="81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微软雅黑" w:hAnsi="微软雅黑" w:eastAsia="微软雅黑" w:cs="宋体"/>
                <w:kern w:val="0"/>
                <w:sz w:val="20"/>
              </w:rPr>
            </w:pPr>
            <w:r>
              <w:rPr>
                <w:rFonts w:hint="eastAsia" w:ascii="微软雅黑" w:hAnsi="微软雅黑" w:eastAsia="微软雅黑" w:cs="宋体"/>
                <w:kern w:val="0"/>
                <w:sz w:val="20"/>
              </w:rPr>
              <w:t>元/吨</w:t>
            </w:r>
          </w:p>
        </w:tc>
        <w:tc>
          <w:tcPr>
            <w:tcW w:w="7077" w:type="dxa"/>
            <w:tcBorders>
              <w:top w:val="nil"/>
              <w:left w:val="nil"/>
              <w:bottom w:val="single" w:color="auto" w:sz="4" w:space="0"/>
              <w:right w:val="single" w:color="auto" w:sz="4" w:space="0"/>
            </w:tcBorders>
            <w:shd w:val="clear" w:color="auto" w:fill="auto"/>
            <w:vAlign w:val="center"/>
          </w:tcPr>
          <w:p>
            <w:pPr>
              <w:adjustRightInd w:val="0"/>
              <w:snapToGrid w:val="0"/>
              <w:rPr>
                <w:rFonts w:ascii="微软雅黑" w:hAnsi="微软雅黑" w:eastAsia="微软雅黑"/>
                <w:color w:val="000000"/>
                <w:sz w:val="20"/>
              </w:rPr>
            </w:pPr>
            <w:r>
              <w:rPr>
                <w:rFonts w:hint="eastAsia" w:ascii="微软雅黑" w:hAnsi="微软雅黑" w:eastAsia="微软雅黑"/>
                <w:color w:val="000000"/>
                <w:sz w:val="20"/>
              </w:rPr>
              <w:t>内附锡箔纸口袋、热熔胶袋、植脂末口袋、品保原物料内袋、奶粉袋等于前述材质一致的包装袋</w:t>
            </w:r>
          </w:p>
        </w:tc>
      </w:tr>
    </w:tbl>
    <w:p>
      <w:pPr>
        <w:widowControl/>
        <w:shd w:val="clear" w:color="auto" w:fill="FFFFFF"/>
        <w:ind w:left="710" w:leftChars="68" w:hanging="567" w:hangingChars="236"/>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（4）保证金缴纳：</w:t>
      </w:r>
      <w:r>
        <w:rPr>
          <w:rFonts w:hint="eastAsia" w:ascii="微软雅黑" w:hAnsi="微软雅黑" w:eastAsia="微软雅黑" w:cs="Arial"/>
          <w:color w:val="000000"/>
          <w:kern w:val="0"/>
          <w:sz w:val="24"/>
          <w:szCs w:val="24"/>
        </w:rPr>
        <w:t>投标保证金</w:t>
      </w:r>
      <w:r>
        <w:rPr>
          <w:rFonts w:hint="eastAsia" w:ascii="微软雅黑" w:hAnsi="微软雅黑" w:eastAsia="微软雅黑" w:cs="Arial"/>
          <w:b/>
          <w:bCs/>
          <w:color w:val="000000"/>
          <w:kern w:val="0"/>
          <w:sz w:val="24"/>
          <w:szCs w:val="24"/>
          <w:lang w:val="en-US" w:eastAsia="zh-CN"/>
        </w:rPr>
        <w:t>2</w:t>
      </w:r>
      <w:r>
        <w:rPr>
          <w:rFonts w:hint="eastAsia" w:ascii="微软雅黑" w:hAnsi="微软雅黑" w:eastAsia="微软雅黑" w:cs="Arial"/>
          <w:b/>
          <w:color w:val="000000"/>
          <w:kern w:val="0"/>
          <w:sz w:val="24"/>
          <w:szCs w:val="24"/>
        </w:rPr>
        <w:t>万元</w:t>
      </w:r>
      <w:r>
        <w:rPr>
          <w:rFonts w:hint="eastAsia" w:ascii="微软雅黑" w:hAnsi="微软雅黑" w:eastAsia="微软雅黑" w:cs="Arial"/>
          <w:color w:val="000000"/>
          <w:kern w:val="0"/>
          <w:sz w:val="24"/>
          <w:szCs w:val="24"/>
        </w:rPr>
        <w:t>；履约保证金依</w:t>
      </w:r>
      <w:r>
        <w:rPr>
          <w:rFonts w:hint="eastAsia" w:ascii="微软雅黑" w:hAnsi="微软雅黑" w:eastAsia="微软雅黑" w:cs="Arial"/>
          <w:b/>
          <w:color w:val="000000"/>
          <w:kern w:val="0"/>
          <w:sz w:val="24"/>
          <w:szCs w:val="24"/>
        </w:rPr>
        <w:t>中标金额5%</w:t>
      </w:r>
      <w:r>
        <w:rPr>
          <w:rFonts w:hint="eastAsia" w:ascii="微软雅黑" w:hAnsi="微软雅黑" w:eastAsia="微软雅黑" w:cs="Arial"/>
          <w:color w:val="000000"/>
          <w:kern w:val="0"/>
          <w:sz w:val="24"/>
          <w:szCs w:val="24"/>
        </w:rPr>
        <w:t>缴纳（上限1</w:t>
      </w:r>
      <w:r>
        <w:rPr>
          <w:rFonts w:ascii="微软雅黑" w:hAnsi="微软雅黑" w:eastAsia="微软雅黑" w:cs="Arial"/>
          <w:color w:val="000000"/>
          <w:kern w:val="0"/>
          <w:sz w:val="24"/>
          <w:szCs w:val="24"/>
        </w:rPr>
        <w:t>0</w:t>
      </w:r>
      <w:r>
        <w:rPr>
          <w:rFonts w:hint="eastAsia" w:ascii="微软雅黑" w:hAnsi="微软雅黑" w:eastAsia="微软雅黑" w:cs="Arial"/>
          <w:color w:val="000000"/>
          <w:kern w:val="0"/>
          <w:sz w:val="24"/>
          <w:szCs w:val="24"/>
        </w:rPr>
        <w:t>万元），具体以招标说明书为准。</w:t>
      </w:r>
    </w:p>
    <w:p>
      <w:pPr>
        <w:widowControl/>
        <w:spacing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spacing w:line="360" w:lineRule="exact"/>
        <w:ind w:firstLine="142" w:firstLineChars="59"/>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w:t>
      </w:r>
      <w:r>
        <w:rPr>
          <w:rFonts w:ascii="微软雅黑" w:hAnsi="微软雅黑" w:eastAsia="微软雅黑" w:cs="Arial"/>
          <w:b/>
          <w:color w:val="000000"/>
          <w:kern w:val="0"/>
          <w:sz w:val="24"/>
          <w:szCs w:val="24"/>
        </w:rPr>
        <w:t>.1</w:t>
      </w:r>
      <w:r>
        <w:rPr>
          <w:rFonts w:hint="eastAsia" w:ascii="微软雅黑" w:hAnsi="微软雅黑" w:eastAsia="微软雅黑" w:cs="Arial"/>
          <w:b/>
          <w:color w:val="000000"/>
          <w:kern w:val="0"/>
          <w:sz w:val="24"/>
          <w:szCs w:val="24"/>
        </w:rPr>
        <w:t>营业范围和证书要求：</w:t>
      </w:r>
      <w:r>
        <w:rPr>
          <w:rFonts w:hint="eastAsia" w:ascii="微软雅黑" w:hAnsi="微软雅黑" w:eastAsia="微软雅黑" w:cs="Arial"/>
          <w:color w:val="000000"/>
          <w:kern w:val="0"/>
          <w:sz w:val="24"/>
          <w:szCs w:val="24"/>
        </w:rPr>
        <w:t>废旧物资回收或再生资源回收相关的营业范围；</w:t>
      </w:r>
    </w:p>
    <w:p>
      <w:pPr>
        <w:spacing w:line="360" w:lineRule="exact"/>
        <w:ind w:left="568" w:leftChars="68" w:hanging="425" w:hangingChars="177"/>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w:t>
      </w:r>
      <w:r>
        <w:rPr>
          <w:rFonts w:ascii="微软雅黑" w:hAnsi="微软雅黑" w:eastAsia="微软雅黑" w:cs="Arial"/>
          <w:b/>
          <w:color w:val="000000"/>
          <w:kern w:val="0"/>
          <w:sz w:val="24"/>
          <w:szCs w:val="24"/>
        </w:rPr>
        <w:t>.2</w:t>
      </w:r>
      <w:r>
        <w:rPr>
          <w:rFonts w:hint="eastAsia" w:ascii="微软雅黑" w:hAnsi="微软雅黑" w:eastAsia="微软雅黑" w:cs="Arial"/>
          <w:b/>
          <w:color w:val="000000"/>
          <w:kern w:val="0"/>
          <w:sz w:val="24"/>
          <w:szCs w:val="24"/>
        </w:rPr>
        <w:t>个体户：</w:t>
      </w:r>
      <w:r>
        <w:rPr>
          <w:rFonts w:hint="eastAsia" w:ascii="微软雅黑" w:hAnsi="微软雅黑" w:eastAsia="微软雅黑" w:cs="Arial"/>
          <w:color w:val="000000"/>
          <w:kern w:val="0"/>
          <w:sz w:val="24"/>
          <w:szCs w:val="24"/>
        </w:rPr>
        <w:t>有意向竞标，需提供营业执照、身份证，我司安排审核确认。</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b/>
          <w:bCs/>
          <w:color w:val="000000"/>
          <w:kern w:val="0"/>
          <w:sz w:val="24"/>
          <w:szCs w:val="24"/>
        </w:rPr>
        <w:t>3、报名方式</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、联系人：孙女士</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rPr>
        <w:t>0512--57706297</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w:t>
      </w:r>
      <w:r>
        <w:fldChar w:fldCharType="begin"/>
      </w:r>
      <w:r>
        <w:instrText xml:space="preserve"> HYPERLINK "mailto:sunwei@pec.com.cn、xiangqiming@pec.com.cn" </w:instrText>
      </w:r>
      <w:r>
        <w:fldChar w:fldCharType="separate"/>
      </w:r>
      <w:r>
        <w:rPr>
          <w:rStyle w:val="16"/>
          <w:rFonts w:hint="eastAsia" w:ascii="微软雅黑" w:hAnsi="微软雅黑" w:eastAsia="微软雅黑" w:cs="Arial"/>
          <w:kern w:val="0"/>
          <w:sz w:val="24"/>
          <w:szCs w:val="24"/>
        </w:rPr>
        <w:t>sunwei@pec.com.cn、xiangqiming@pec.com.cn</w:t>
      </w:r>
      <w:r>
        <w:rPr>
          <w:rStyle w:val="16"/>
          <w:rFonts w:hint="eastAsia" w:ascii="微软雅黑" w:hAnsi="微软雅黑" w:eastAsia="微软雅黑" w:cs="Arial"/>
          <w:kern w:val="0"/>
          <w:sz w:val="24"/>
          <w:szCs w:val="24"/>
        </w:rPr>
        <w:fldChar w:fldCharType="end"/>
      </w:r>
      <w:r>
        <w:rPr>
          <w:rFonts w:hint="eastAsia" w:ascii="微软雅黑" w:hAnsi="微软雅黑" w:eastAsia="微软雅黑" w:cs="Arial"/>
          <w:color w:val="000000"/>
          <w:kern w:val="0"/>
          <w:sz w:val="24"/>
          <w:szCs w:val="24"/>
        </w:rPr>
        <w:t>（报名文件请同时发送两邮箱）</w:t>
      </w:r>
    </w:p>
    <w:p>
      <w:pPr>
        <w:spacing w:line="360" w:lineRule="exact"/>
        <w:ind w:left="566" w:leftChars="136" w:hanging="280" w:hangingChars="117"/>
        <w:rPr>
          <w:rFonts w:ascii="微软雅黑" w:hAnsi="微软雅黑" w:eastAsia="微软雅黑" w:cs="Arial"/>
          <w:color w:val="000000"/>
          <w:kern w:val="0"/>
          <w:sz w:val="24"/>
          <w:szCs w:val="24"/>
          <w:highlight w:val="none"/>
        </w:rPr>
      </w:pPr>
      <w:r>
        <w:rPr>
          <w:rFonts w:hint="eastAsia" w:ascii="微软雅黑" w:hAnsi="微软雅黑" w:eastAsia="微软雅黑" w:cs="Arial"/>
          <w:color w:val="000000"/>
          <w:kern w:val="0"/>
          <w:sz w:val="24"/>
          <w:szCs w:val="24"/>
          <w:highlight w:val="none"/>
        </w:rPr>
        <w:t>D、报名时间：</w:t>
      </w:r>
      <w:r>
        <w:rPr>
          <w:rFonts w:hint="eastAsia" w:ascii="微软雅黑" w:hAnsi="微软雅黑" w:eastAsia="微软雅黑" w:cs="Arial"/>
          <w:b/>
          <w:color w:val="000000"/>
          <w:kern w:val="0"/>
          <w:sz w:val="24"/>
          <w:szCs w:val="24"/>
          <w:highlight w:val="none"/>
        </w:rPr>
        <w:t>2020年0</w:t>
      </w:r>
      <w:r>
        <w:rPr>
          <w:rFonts w:ascii="微软雅黑" w:hAnsi="微软雅黑" w:eastAsia="微软雅黑" w:cs="Arial"/>
          <w:b/>
          <w:color w:val="000000"/>
          <w:kern w:val="0"/>
          <w:sz w:val="24"/>
          <w:szCs w:val="24"/>
          <w:highlight w:val="none"/>
        </w:rPr>
        <w:t>4</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19</w:t>
      </w:r>
      <w:r>
        <w:rPr>
          <w:rFonts w:ascii="微软雅黑" w:hAnsi="微软雅黑" w:eastAsia="微软雅黑" w:cs="Arial"/>
          <w:b/>
          <w:color w:val="000000"/>
          <w:kern w:val="0"/>
          <w:sz w:val="24"/>
          <w:szCs w:val="24"/>
          <w:highlight w:val="none"/>
        </w:rPr>
        <w:t xml:space="preserve"> </w:t>
      </w:r>
      <w:r>
        <w:rPr>
          <w:rFonts w:hint="eastAsia" w:ascii="微软雅黑" w:hAnsi="微软雅黑" w:eastAsia="微软雅黑" w:cs="Arial"/>
          <w:b/>
          <w:color w:val="000000"/>
          <w:kern w:val="0"/>
          <w:sz w:val="24"/>
          <w:szCs w:val="24"/>
          <w:highlight w:val="none"/>
        </w:rPr>
        <w:t>日08时至2020年0</w:t>
      </w:r>
      <w:r>
        <w:rPr>
          <w:rFonts w:ascii="微软雅黑" w:hAnsi="微软雅黑" w:eastAsia="微软雅黑" w:cs="Arial"/>
          <w:b/>
          <w:color w:val="000000"/>
          <w:kern w:val="0"/>
          <w:sz w:val="24"/>
          <w:szCs w:val="24"/>
          <w:highlight w:val="none"/>
        </w:rPr>
        <w:t>4</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25</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w:t>
      </w:r>
      <w:r>
        <w:rPr>
          <w:rFonts w:hint="eastAsia" w:ascii="微软雅黑" w:hAnsi="微软雅黑" w:eastAsia="微软雅黑" w:cs="Arial"/>
          <w:color w:val="000000"/>
          <w:kern w:val="0"/>
          <w:sz w:val="24"/>
          <w:szCs w:val="24"/>
        </w:rPr>
        <w:t>所有报名材料加盖公章，电子邮件至我司审核；</w:t>
      </w:r>
    </w:p>
    <w:p>
      <w:pPr>
        <w:widowControl/>
        <w:spacing w:line="360" w:lineRule="exact"/>
        <w:jc w:val="left"/>
        <w:rPr>
          <w:rFonts w:ascii="微软雅黑" w:hAnsi="微软雅黑" w:eastAsia="微软雅黑"/>
          <w:color w:val="111F2C"/>
          <w:szCs w:val="21"/>
        </w:rPr>
      </w:pPr>
      <w:r>
        <w:rPr>
          <w:rFonts w:hint="eastAsia" w:ascii="微软雅黑" w:hAnsi="微软雅黑" w:eastAsia="微软雅黑" w:cs="Arial"/>
          <w:color w:val="000000"/>
          <w:kern w:val="0"/>
          <w:sz w:val="24"/>
          <w:szCs w:val="24"/>
        </w:rPr>
        <w:t>4、报名须提供的资料：报名资格文件的组成及顺序按照如下要求提供：</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A、《服务商报名表》原件加盖公章的扫描件（彩色）；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B、营业执照、税务登记证、组织机构代码证（或三证合一的营业执照）、开户许可证及其他专业资质证书的原件扫描件或复印件加盖公章的扫描件（彩色）；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如项目联络人为法人，请附法人身份证复印件加盖公章的扫描件（彩色）；如项目联络人为其他授权人，请附《授权委托书》原件加盖公章的扫描件、法人及被授权人身份证复印件加盖公章的扫描件（彩色）、被授权人与投标公司的劳动合同原价扫描件或复印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D、若注册地址与办公地址不一致，需提供办公地点之产权资料（房产证或租赁合同）的原件扫描件或复印件加盖公章的扫描件（彩色）；</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若投标公司所提供资料有作假情况，一律列入统一集团黑名单中。</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南昌统一2020年度下脚品外卖服务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142"/>
        <w:gridCol w:w="992"/>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905"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8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127"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8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需提供法人身份证复印件加盖公章的扫描件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127" w:type="dxa"/>
            <w:gridSpan w:val="3"/>
            <w:vMerge w:val="restart"/>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jc w:val="center"/>
        <w:rPr>
          <w:bCs/>
          <w:sz w:val="18"/>
          <w:szCs w:val="18"/>
        </w:rPr>
      </w:pPr>
      <w:r>
        <w:rPr>
          <w:rFonts w:hint="eastAsia"/>
          <w:sz w:val="36"/>
          <w:szCs w:val="36"/>
        </w:rPr>
        <w:t>授权委托书</w:t>
      </w:r>
    </w:p>
    <w:p>
      <w:pPr>
        <w:rPr>
          <w:rFonts w:hint="eastAsia"/>
          <w:sz w:val="28"/>
        </w:rPr>
      </w:pPr>
      <w:r>
        <w:rPr>
          <w:rFonts w:hint="eastAsia"/>
          <w:sz w:val="28"/>
        </w:rPr>
        <w:t>授权公司：</w:t>
      </w:r>
    </w:p>
    <w:p>
      <w:pPr>
        <w:rPr>
          <w:rFonts w:hint="eastAsia"/>
          <w:sz w:val="28"/>
        </w:rPr>
      </w:pPr>
      <w:r>
        <w:rPr>
          <w:rFonts w:hint="eastAsia"/>
          <w:sz w:val="28"/>
        </w:rPr>
        <w:t xml:space="preserve">法定代表人：                 单位地址： </w:t>
      </w:r>
    </w:p>
    <w:p>
      <w:pPr>
        <w:rPr>
          <w:rFonts w:hint="default" w:eastAsia="宋体"/>
          <w:sz w:val="28"/>
          <w:lang w:val="en-US" w:eastAsia="zh-CN"/>
        </w:rPr>
      </w:pPr>
      <w:r>
        <w:rPr>
          <w:rFonts w:hint="eastAsia"/>
          <w:sz w:val="28"/>
          <w:lang w:val="en-US" w:eastAsia="zh-CN"/>
        </w:rPr>
        <w:t>手机号：</w:t>
      </w:r>
    </w:p>
    <w:p>
      <w:pPr>
        <w:rPr>
          <w:rFonts w:hint="eastAsia"/>
          <w:sz w:val="28"/>
        </w:rPr>
      </w:pPr>
      <w:r>
        <w:rPr>
          <w:rFonts w:hint="eastAsia"/>
          <w:sz w:val="28"/>
        </w:rPr>
        <w:t xml:space="preserve">受托人：                     身份证号码： </w:t>
      </w:r>
    </w:p>
    <w:p>
      <w:pPr>
        <w:rPr>
          <w:rFonts w:hint="eastAsia"/>
          <w:sz w:val="28"/>
        </w:rPr>
      </w:pPr>
      <w:r>
        <w:rPr>
          <w:rFonts w:hint="eastAsia"/>
          <w:sz w:val="28"/>
          <w:lang w:eastAsia="zh-CN"/>
        </w:rPr>
        <w:t>手机号：</w:t>
      </w:r>
      <w:r>
        <w:rPr>
          <w:rFonts w:hint="eastAsia"/>
          <w:sz w:val="28"/>
        </w:rPr>
        <w:t xml:space="preserve">     </w:t>
      </w:r>
    </w:p>
    <w:p>
      <w:pPr>
        <w:rPr>
          <w:rFonts w:hint="eastAsia"/>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南昌统一2020年度下脚品外卖服务</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统一企业（中国）投资有限公司及旗下对应子公司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p>
    <w:p>
      <w:pPr>
        <w:ind w:firstLine="4620" w:firstLineChars="165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签署日期：年月日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default"/>
        <w:sz w:val="10"/>
        <w:lang w:val="en-US"/>
      </w:rPr>
    </w:pPr>
    <w: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lang w:val="en-US" w:eastAsia="zh-CN"/>
      </w:rPr>
      <w:t xml:space="preserve">                                         </w:t>
    </w:r>
    <w:r>
      <w:rPr>
        <w:rFonts w:hint="eastAsia"/>
        <w:sz w:val="24"/>
        <w:szCs w:val="24"/>
        <w:lang w:val="en-US" w:eastAsia="zh-CN"/>
      </w:rPr>
      <w:t xml:space="preserve"> </w:t>
    </w:r>
    <w:r>
      <w:rPr>
        <w:rFonts w:hint="eastAsia"/>
        <w:kern w:val="2"/>
        <w:sz w:val="24"/>
        <w:szCs w:val="24"/>
        <w:lang w:val="en-US" w:eastAsia="zh-CN" w:bidi="ar-SA"/>
      </w:rPr>
      <w:t>编号</w:t>
    </w:r>
    <w:r>
      <w:rPr>
        <w:rFonts w:hint="eastAsia"/>
        <w:kern w:val="2"/>
        <w:sz w:val="28"/>
        <w:szCs w:val="28"/>
        <w:lang w:val="en-US" w:eastAsia="zh-CN" w:bidi="ar-SA"/>
      </w:rPr>
      <w:t>： 20200400012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464"/>
    <w:rsid w:val="00006AB0"/>
    <w:rsid w:val="0000772A"/>
    <w:rsid w:val="00010458"/>
    <w:rsid w:val="000122B4"/>
    <w:rsid w:val="000209C0"/>
    <w:rsid w:val="00021910"/>
    <w:rsid w:val="00030AA8"/>
    <w:rsid w:val="00030B76"/>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9AF"/>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C5E26"/>
    <w:rsid w:val="000D09A6"/>
    <w:rsid w:val="000D10F6"/>
    <w:rsid w:val="000D3CF1"/>
    <w:rsid w:val="000D5D88"/>
    <w:rsid w:val="000D74DD"/>
    <w:rsid w:val="000E01FA"/>
    <w:rsid w:val="000E1787"/>
    <w:rsid w:val="000F14F5"/>
    <w:rsid w:val="000F22C6"/>
    <w:rsid w:val="000F317B"/>
    <w:rsid w:val="000F7D74"/>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298D"/>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4182"/>
    <w:rsid w:val="001C4E5F"/>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0C96"/>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65BC0"/>
    <w:rsid w:val="00271FBE"/>
    <w:rsid w:val="00272635"/>
    <w:rsid w:val="00273305"/>
    <w:rsid w:val="00273C5B"/>
    <w:rsid w:val="00274AD4"/>
    <w:rsid w:val="00274FD9"/>
    <w:rsid w:val="00275409"/>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2E6F"/>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E7A5E"/>
    <w:rsid w:val="003F01BF"/>
    <w:rsid w:val="003F1D15"/>
    <w:rsid w:val="003F410E"/>
    <w:rsid w:val="003F59BA"/>
    <w:rsid w:val="003F5A44"/>
    <w:rsid w:val="003F7708"/>
    <w:rsid w:val="003F7D8B"/>
    <w:rsid w:val="00401946"/>
    <w:rsid w:val="004037EA"/>
    <w:rsid w:val="00407112"/>
    <w:rsid w:val="00411E3D"/>
    <w:rsid w:val="004147EE"/>
    <w:rsid w:val="004165EC"/>
    <w:rsid w:val="00417557"/>
    <w:rsid w:val="004176F2"/>
    <w:rsid w:val="004217CD"/>
    <w:rsid w:val="0042245E"/>
    <w:rsid w:val="00422570"/>
    <w:rsid w:val="00422F69"/>
    <w:rsid w:val="0042327D"/>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67695"/>
    <w:rsid w:val="0047045E"/>
    <w:rsid w:val="004716D1"/>
    <w:rsid w:val="0047195B"/>
    <w:rsid w:val="00471E3A"/>
    <w:rsid w:val="004761A5"/>
    <w:rsid w:val="00480771"/>
    <w:rsid w:val="0048114C"/>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4EAD"/>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76B5"/>
    <w:rsid w:val="00500E06"/>
    <w:rsid w:val="005013B2"/>
    <w:rsid w:val="0050172D"/>
    <w:rsid w:val="00504FB2"/>
    <w:rsid w:val="00505305"/>
    <w:rsid w:val="005053A1"/>
    <w:rsid w:val="00507FBA"/>
    <w:rsid w:val="00510432"/>
    <w:rsid w:val="0051427E"/>
    <w:rsid w:val="00514D5A"/>
    <w:rsid w:val="00514E0B"/>
    <w:rsid w:val="00523FA9"/>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2C4C"/>
    <w:rsid w:val="00624C28"/>
    <w:rsid w:val="006304DC"/>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65C84"/>
    <w:rsid w:val="00671968"/>
    <w:rsid w:val="0067252E"/>
    <w:rsid w:val="00673045"/>
    <w:rsid w:val="00673407"/>
    <w:rsid w:val="00674360"/>
    <w:rsid w:val="006768F9"/>
    <w:rsid w:val="0068407B"/>
    <w:rsid w:val="006901B7"/>
    <w:rsid w:val="006915F1"/>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44B5"/>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D0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04A0"/>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517C"/>
    <w:rsid w:val="00926E0B"/>
    <w:rsid w:val="00926F98"/>
    <w:rsid w:val="00927921"/>
    <w:rsid w:val="00936B31"/>
    <w:rsid w:val="009379F3"/>
    <w:rsid w:val="0094159B"/>
    <w:rsid w:val="00942F3D"/>
    <w:rsid w:val="00943970"/>
    <w:rsid w:val="00944EE4"/>
    <w:rsid w:val="00945FA5"/>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1440"/>
    <w:rsid w:val="009E521B"/>
    <w:rsid w:val="009F39F0"/>
    <w:rsid w:val="009F4F84"/>
    <w:rsid w:val="009F5547"/>
    <w:rsid w:val="009F5628"/>
    <w:rsid w:val="009F5FA6"/>
    <w:rsid w:val="009F6D58"/>
    <w:rsid w:val="00A00A06"/>
    <w:rsid w:val="00A020D0"/>
    <w:rsid w:val="00A0293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51C8"/>
    <w:rsid w:val="00A572BF"/>
    <w:rsid w:val="00A57DC4"/>
    <w:rsid w:val="00A60D8E"/>
    <w:rsid w:val="00A649B3"/>
    <w:rsid w:val="00A64D0F"/>
    <w:rsid w:val="00A71F2D"/>
    <w:rsid w:val="00A76839"/>
    <w:rsid w:val="00A76E59"/>
    <w:rsid w:val="00A80040"/>
    <w:rsid w:val="00A846AB"/>
    <w:rsid w:val="00A85D10"/>
    <w:rsid w:val="00A869F9"/>
    <w:rsid w:val="00A90FB5"/>
    <w:rsid w:val="00A96A31"/>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6D59"/>
    <w:rsid w:val="00AF171C"/>
    <w:rsid w:val="00AF5803"/>
    <w:rsid w:val="00B02863"/>
    <w:rsid w:val="00B02F0A"/>
    <w:rsid w:val="00B03393"/>
    <w:rsid w:val="00B03BA1"/>
    <w:rsid w:val="00B040B9"/>
    <w:rsid w:val="00B06E77"/>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77224"/>
    <w:rsid w:val="00B80ED8"/>
    <w:rsid w:val="00B8122E"/>
    <w:rsid w:val="00B8177C"/>
    <w:rsid w:val="00B81C86"/>
    <w:rsid w:val="00B82561"/>
    <w:rsid w:val="00B835BA"/>
    <w:rsid w:val="00B8548A"/>
    <w:rsid w:val="00B869A7"/>
    <w:rsid w:val="00B922CE"/>
    <w:rsid w:val="00B94B28"/>
    <w:rsid w:val="00B97264"/>
    <w:rsid w:val="00B97F5E"/>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05AA"/>
    <w:rsid w:val="00C011C0"/>
    <w:rsid w:val="00C07519"/>
    <w:rsid w:val="00C07C9C"/>
    <w:rsid w:val="00C10CAD"/>
    <w:rsid w:val="00C11287"/>
    <w:rsid w:val="00C12C25"/>
    <w:rsid w:val="00C14162"/>
    <w:rsid w:val="00C144C3"/>
    <w:rsid w:val="00C14562"/>
    <w:rsid w:val="00C154A1"/>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7687"/>
    <w:rsid w:val="00C710AD"/>
    <w:rsid w:val="00C717B9"/>
    <w:rsid w:val="00C751A9"/>
    <w:rsid w:val="00C815E7"/>
    <w:rsid w:val="00C85411"/>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3F92"/>
    <w:rsid w:val="00CF5623"/>
    <w:rsid w:val="00CF600C"/>
    <w:rsid w:val="00CF7B29"/>
    <w:rsid w:val="00CF7F11"/>
    <w:rsid w:val="00D0091D"/>
    <w:rsid w:val="00D028A9"/>
    <w:rsid w:val="00D036EA"/>
    <w:rsid w:val="00D03750"/>
    <w:rsid w:val="00D04288"/>
    <w:rsid w:val="00D05E12"/>
    <w:rsid w:val="00D06AAE"/>
    <w:rsid w:val="00D155E9"/>
    <w:rsid w:val="00D168C7"/>
    <w:rsid w:val="00D17003"/>
    <w:rsid w:val="00D17C39"/>
    <w:rsid w:val="00D204E9"/>
    <w:rsid w:val="00D21023"/>
    <w:rsid w:val="00D2109C"/>
    <w:rsid w:val="00D21F8B"/>
    <w:rsid w:val="00D221DE"/>
    <w:rsid w:val="00D228C1"/>
    <w:rsid w:val="00D25D9A"/>
    <w:rsid w:val="00D268AB"/>
    <w:rsid w:val="00D2750B"/>
    <w:rsid w:val="00D305AE"/>
    <w:rsid w:val="00D31914"/>
    <w:rsid w:val="00D3376C"/>
    <w:rsid w:val="00D34F4A"/>
    <w:rsid w:val="00D3612F"/>
    <w:rsid w:val="00D369E5"/>
    <w:rsid w:val="00D3720F"/>
    <w:rsid w:val="00D410BF"/>
    <w:rsid w:val="00D429E7"/>
    <w:rsid w:val="00D43090"/>
    <w:rsid w:val="00D522CA"/>
    <w:rsid w:val="00D66A6C"/>
    <w:rsid w:val="00D6790D"/>
    <w:rsid w:val="00D67D34"/>
    <w:rsid w:val="00D67E9B"/>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1554"/>
    <w:rsid w:val="00DB3C8E"/>
    <w:rsid w:val="00DC061E"/>
    <w:rsid w:val="00DC2203"/>
    <w:rsid w:val="00DC4211"/>
    <w:rsid w:val="00DC4C62"/>
    <w:rsid w:val="00DC71EA"/>
    <w:rsid w:val="00DD16B6"/>
    <w:rsid w:val="00DD1A4D"/>
    <w:rsid w:val="00DD43F3"/>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0277"/>
    <w:rsid w:val="00E204F9"/>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07"/>
    <w:rsid w:val="00E84D74"/>
    <w:rsid w:val="00E91CE0"/>
    <w:rsid w:val="00E926C7"/>
    <w:rsid w:val="00E9281D"/>
    <w:rsid w:val="00E93598"/>
    <w:rsid w:val="00EA2BF9"/>
    <w:rsid w:val="00EA38C2"/>
    <w:rsid w:val="00EA5AE4"/>
    <w:rsid w:val="00EA7F0B"/>
    <w:rsid w:val="00EB0BAE"/>
    <w:rsid w:val="00EB327A"/>
    <w:rsid w:val="00EB3E0A"/>
    <w:rsid w:val="00EB55B8"/>
    <w:rsid w:val="00EB60EE"/>
    <w:rsid w:val="00EB65F4"/>
    <w:rsid w:val="00EB6941"/>
    <w:rsid w:val="00EC2F98"/>
    <w:rsid w:val="00EC2FFE"/>
    <w:rsid w:val="00EC61DB"/>
    <w:rsid w:val="00EC6E49"/>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3F96"/>
    <w:rsid w:val="00F24BCE"/>
    <w:rsid w:val="00F25320"/>
    <w:rsid w:val="00F256CA"/>
    <w:rsid w:val="00F30EA8"/>
    <w:rsid w:val="00F32C34"/>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C0386"/>
    <w:rsid w:val="00FC0B50"/>
    <w:rsid w:val="00FC16B4"/>
    <w:rsid w:val="00FC1751"/>
    <w:rsid w:val="00FC2521"/>
    <w:rsid w:val="00FC2704"/>
    <w:rsid w:val="00FC56AD"/>
    <w:rsid w:val="00FC5816"/>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4E7A6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uiPriority w:val="0"/>
    <w:rPr>
      <w:b/>
      <w:bCs/>
    </w:rPr>
  </w:style>
  <w:style w:type="character" w:styleId="15">
    <w:name w:val="page number"/>
    <w:basedOn w:val="14"/>
    <w:uiPriority w:val="0"/>
  </w:style>
  <w:style w:type="character" w:styleId="16">
    <w:name w:val="Hyperlink"/>
    <w:basedOn w:val="14"/>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uiPriority w:val="0"/>
    <w:rPr>
      <w:kern w:val="2"/>
      <w:sz w:val="21"/>
    </w:rPr>
  </w:style>
  <w:style w:type="character" w:customStyle="1" w:styleId="20">
    <w:name w:val="批注主题 字符"/>
    <w:basedOn w:val="19"/>
    <w:link w:val="12"/>
    <w:semiHidden/>
    <w:uiPriority w:val="0"/>
    <w:rPr>
      <w:b/>
      <w:bCs/>
      <w:kern w:val="2"/>
      <w:sz w:val="21"/>
    </w:rPr>
  </w:style>
  <w:style w:type="character" w:customStyle="1" w:styleId="21">
    <w:name w:val="awspan1"/>
    <w:basedOn w:val="14"/>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5</Pages>
  <Words>551</Words>
  <Characters>3146</Characters>
  <Lines>26</Lines>
  <Paragraphs>7</Paragraphs>
  <TotalTime>1</TotalTime>
  <ScaleCrop>false</ScaleCrop>
  <LinksUpToDate>false</LinksUpToDate>
  <CharactersWithSpaces>3690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2020-02-15T02:44:00Z</dcterms:created>
  <dc:creator>grdpec</dc:creator>
  <cp:keywords>标准</cp:keywords>
  <cp:lastModifiedBy>孙薇</cp:lastModifiedBy>
  <cp:lastPrinted>2017-11-14T01:02:00Z</cp:lastPrinted>
  <dcterms:modified xsi:type="dcterms:W3CDTF">2020-04-18T01:23:57Z</dcterms:modified>
  <dc:subject>昆山研究所标准书模板</dc:subject>
  <dc:title>stdbook</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