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91" w:rsidRDefault="00AB0991" w:rsidP="003D5C3E">
      <w:pPr>
        <w:spacing w:beforeLines="50" w:afterLines="50"/>
        <w:ind w:right="420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B0991" w:rsidRDefault="00AB0991" w:rsidP="003D5C3E">
      <w:pPr>
        <w:spacing w:beforeLines="50" w:afterLines="50"/>
        <w:ind w:right="42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B0991" w:rsidRDefault="00AB0991" w:rsidP="003D5C3E">
      <w:pPr>
        <w:spacing w:beforeLines="50" w:afterLines="50"/>
        <w:ind w:right="42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15583" w:rsidRPr="00AB0991" w:rsidRDefault="00DB0564" w:rsidP="003D5C3E">
      <w:pPr>
        <w:spacing w:beforeLines="50" w:afterLines="50"/>
        <w:ind w:right="420"/>
        <w:jc w:val="center"/>
        <w:rPr>
          <w:rFonts w:ascii="微软雅黑" w:eastAsia="微软雅黑" w:hAnsi="微软雅黑"/>
          <w:b/>
          <w:bCs/>
          <w:sz w:val="36"/>
          <w:szCs w:val="36"/>
          <w:u w:val="single"/>
        </w:rPr>
      </w:pPr>
      <w:r w:rsidRPr="00DB0564">
        <w:rPr>
          <w:rFonts w:ascii="微软雅黑" w:eastAsia="微软雅黑" w:hAnsi="微软雅黑" w:hint="eastAsia"/>
          <w:b/>
          <w:color w:val="333333"/>
          <w:sz w:val="36"/>
          <w:szCs w:val="36"/>
        </w:rPr>
        <w:t>广州</w:t>
      </w:r>
      <w:r w:rsidR="00F15583" w:rsidRPr="00DB0564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3D6A37">
        <w:rPr>
          <w:rFonts w:ascii="微软雅黑" w:eastAsia="微软雅黑" w:hAnsi="微软雅黑" w:hint="eastAsia"/>
          <w:b/>
          <w:bCs/>
          <w:sz w:val="36"/>
          <w:szCs w:val="36"/>
        </w:rPr>
        <w:t>成品</w:t>
      </w:r>
      <w:r w:rsidRPr="00AB0991">
        <w:rPr>
          <w:rFonts w:ascii="微软雅黑" w:eastAsia="微软雅黑" w:hAnsi="微软雅黑" w:hint="eastAsia"/>
          <w:b/>
          <w:bCs/>
          <w:sz w:val="36"/>
          <w:szCs w:val="36"/>
        </w:rPr>
        <w:t>仓库</w:t>
      </w:r>
      <w:r w:rsidR="00AB0991" w:rsidRPr="00AB0991">
        <w:rPr>
          <w:rFonts w:ascii="微软雅黑" w:eastAsia="微软雅黑" w:hAnsi="微软雅黑" w:hint="eastAsia"/>
          <w:b/>
          <w:bCs/>
          <w:sz w:val="36"/>
          <w:szCs w:val="36"/>
        </w:rPr>
        <w:t>装卸搬运</w:t>
      </w:r>
      <w:r w:rsidRPr="00AB0991">
        <w:rPr>
          <w:rFonts w:ascii="微软雅黑" w:eastAsia="微软雅黑" w:hAnsi="微软雅黑" w:hint="eastAsia"/>
          <w:b/>
          <w:bCs/>
          <w:sz w:val="36"/>
          <w:szCs w:val="36"/>
        </w:rPr>
        <w:t>劳务外包</w:t>
      </w:r>
      <w:r w:rsidRPr="00AB0991">
        <w:rPr>
          <w:rFonts w:ascii="微软雅黑" w:eastAsia="微软雅黑" w:hAnsi="微软雅黑" w:hint="eastAsia"/>
          <w:b/>
          <w:sz w:val="36"/>
          <w:szCs w:val="36"/>
        </w:rPr>
        <w:t>服务项目</w:t>
      </w:r>
    </w:p>
    <w:p w:rsidR="00F15583" w:rsidRPr="000E1787" w:rsidRDefault="00F15583" w:rsidP="00F1558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F15583" w:rsidRPr="000E1787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Pr="000E1787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Pr="000E1787" w:rsidRDefault="00AB0991" w:rsidP="00AB099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5583" w:rsidRPr="000E1787" w:rsidRDefault="00F15583" w:rsidP="00F15583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DB0564">
        <w:rPr>
          <w:rFonts w:ascii="微软雅黑" w:eastAsia="微软雅黑" w:hAnsi="微软雅黑" w:hint="eastAsia"/>
          <w:b/>
          <w:color w:val="333333"/>
          <w:sz w:val="30"/>
          <w:szCs w:val="30"/>
        </w:rPr>
        <w:t>2020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AB0991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3D6A37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3D6A37">
        <w:rPr>
          <w:rFonts w:ascii="微软雅黑" w:eastAsia="微软雅黑" w:hAnsi="微软雅黑" w:hint="eastAsia"/>
          <w:b/>
          <w:color w:val="333333"/>
          <w:sz w:val="30"/>
          <w:szCs w:val="30"/>
        </w:rPr>
        <w:t>26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F15583" w:rsidRDefault="00F15583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DB0564" w:rsidRDefault="00DB0564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15583" w:rsidRPr="00DB0564" w:rsidRDefault="00F15583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15583" w:rsidRPr="000E1787" w:rsidRDefault="00F15583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F15583" w:rsidRPr="000E1787" w:rsidTr="00F80AD8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F15583" w:rsidRPr="000E1787" w:rsidRDefault="00F15583" w:rsidP="00AB0991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F15583" w:rsidRPr="000E1787" w:rsidRDefault="00F15583" w:rsidP="00AB0991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AB0991" w:rsidRPr="00AB0991" w:rsidRDefault="00AB0991" w:rsidP="00AB0991">
      <w:pPr>
        <w:ind w:right="420"/>
        <w:jc w:val="center"/>
        <w:rPr>
          <w:rFonts w:ascii="微软雅黑" w:eastAsia="微软雅黑" w:hAnsi="微软雅黑" w:cs="Arial"/>
          <w:b/>
          <w:color w:val="000000"/>
          <w:kern w:val="0"/>
          <w:sz w:val="28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4"/>
        </w:rPr>
        <w:lastRenderedPageBreak/>
        <w:t>招标信息公告</w:t>
      </w:r>
    </w:p>
    <w:p w:rsidR="00F15583" w:rsidRPr="00AB0991" w:rsidRDefault="00DB0564" w:rsidP="00AB0991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</w:t>
      </w:r>
      <w:r w:rsidR="00F15583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（以下称：甲方）就</w:t>
      </w:r>
      <w:r w:rsidR="003D6A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</w:t>
      </w:r>
      <w:r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仓库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装卸搬运</w:t>
      </w:r>
      <w:r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</w:t>
      </w:r>
      <w:r w:rsidR="00F15583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满足</w:t>
      </w:r>
      <w:r w:rsidR="00F15583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如下要求的服务商伙伴：</w:t>
      </w:r>
    </w:p>
    <w:p w:rsidR="00F15583" w:rsidRPr="00AB0991" w:rsidRDefault="00F15583" w:rsidP="003D5C3E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F15583" w:rsidRPr="00500E06" w:rsidRDefault="00F15583" w:rsidP="00AB099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F15583" w:rsidRDefault="00F15583" w:rsidP="00AB099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AB0991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广州市黄埔区南岗镇康南路788号</w:t>
      </w:r>
    </w:p>
    <w:p w:rsidR="003D6A37" w:rsidRPr="00B37796" w:rsidRDefault="003D6A37" w:rsidP="003D6A3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Pr="00E26E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负责成品装卸、成品挑拣、翻板、外调产品盖章、</w:t>
      </w:r>
      <w:proofErr w:type="gramStart"/>
      <w:r w:rsidRPr="00E26E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成品转板打</w:t>
      </w:r>
      <w:proofErr w:type="gramEnd"/>
      <w:r w:rsidRPr="00E26E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膜、清洗</w:t>
      </w:r>
      <w:proofErr w:type="gramStart"/>
      <w:r w:rsidRPr="00E26E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Pr="00E26E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板等。</w:t>
      </w:r>
    </w:p>
    <w:p w:rsidR="003D6A37" w:rsidRPr="000D615D" w:rsidRDefault="003D6A37" w:rsidP="003D6A3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服务商需根据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甲方成品仓库出货需求及作业现场实际情况予以调节人员的作业时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间及人数，保质保量完成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甲方成品仓库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每日出货需求, 作业时间需配合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甲方成品仓库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出货叉车操作员的工作时间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每日最大出货量：食品1</w:t>
      </w:r>
      <w:r w:rsidRPr="000D61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万箱、饮料2</w:t>
      </w:r>
      <w:r w:rsidRPr="000D61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</w:t>
      </w:r>
      <w:r w:rsidRPr="000D61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万箱。</w:t>
      </w:r>
    </w:p>
    <w:p w:rsidR="003D6A37" w:rsidRDefault="003D6A37" w:rsidP="003D6A3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保证金缴纳：投标保证金4万元；履约保证金10万元，具体以招标说明书为准。</w:t>
      </w:r>
    </w:p>
    <w:p w:rsidR="00F15583" w:rsidRPr="00AB0991" w:rsidRDefault="00F15583" w:rsidP="003D5C3E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FC2101" w:rsidRDefault="00FC2101" w:rsidP="00F80AD8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具备劳务派遣许可证）或劳务服务或搬运或装卸的营业范围；</w:t>
      </w:r>
    </w:p>
    <w:p w:rsidR="00FC2101" w:rsidRPr="000E1787" w:rsidRDefault="00FC2101" w:rsidP="001963C1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C2101" w:rsidRPr="000E1787" w:rsidRDefault="00FC2101" w:rsidP="00F80AD8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或劳务服务或搬运或装卸的营业范围1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80AD8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（含）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以上（含）。</w:t>
      </w:r>
    </w:p>
    <w:p w:rsidR="001963C1" w:rsidRDefault="00F15583" w:rsidP="003D5C3E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1963C1" w:rsidRPr="001963C1" w:rsidRDefault="001963C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平台（</w:t>
      </w:r>
      <w:r w:rsidR="00CB2715" w:rsidRPr="00CB271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）进行</w:t>
      </w:r>
      <w:r w:rsidR="00296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报名。</w:t>
      </w:r>
    </w:p>
    <w:p w:rsidR="00FC2101" w:rsidRPr="000E1787" w:rsidRDefault="00FC210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报名咨询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人：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FC2101" w:rsidRPr="001963C1" w:rsidRDefault="00FC210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244F2C" w:rsidRP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="00244F2C" w:rsidRP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577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10307</w:t>
      </w:r>
      <w:r w:rsidR="003D5C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（17625638091）</w:t>
      </w:r>
    </w:p>
    <w:p w:rsidR="00FC2101" w:rsidRDefault="001963C1" w:rsidP="001963C1">
      <w:pPr>
        <w:widowControl/>
        <w:shd w:val="clear" w:color="auto" w:fill="FFFFFF"/>
        <w:ind w:leftChars="201" w:left="424" w:hanging="2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FC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FC2101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3D6A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3D6A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26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CB271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12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时至20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3D6A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03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CB271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F15583" w:rsidRPr="00AB0991" w:rsidRDefault="00F15583" w:rsidP="003D5C3E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4、报名须知：</w:t>
      </w:r>
    </w:p>
    <w:p w:rsidR="001963C1" w:rsidRDefault="001963C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15583" w:rsidRDefault="001963C1" w:rsidP="001963C1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F155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F15583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F155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15583" w:rsidRPr="00AB0991" w:rsidRDefault="00F15583" w:rsidP="003D5C3E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5、反腐直通车：</w:t>
      </w:r>
    </w:p>
    <w:p w:rsidR="00F15583" w:rsidRDefault="00F15583" w:rsidP="001963C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8E3F13" w:rsidRPr="008A1EF1" w:rsidRDefault="00F15583" w:rsidP="008A1EF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</w:t>
      </w:r>
      <w:r w:rsid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 w:rsidR="008A1EF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sectPr w:rsidR="008E3F13" w:rsidRPr="008A1EF1" w:rsidSect="00F80AD8">
      <w:headerReference w:type="default" r:id="rId8"/>
      <w:footerReference w:type="default" r:id="rId9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93" w:rsidRDefault="001F0193" w:rsidP="00F15583">
      <w:r>
        <w:separator/>
      </w:r>
    </w:p>
  </w:endnote>
  <w:endnote w:type="continuationSeparator" w:id="0">
    <w:p w:rsidR="001F0193" w:rsidRDefault="001F0193" w:rsidP="00F1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Default="00F80AD8" w:rsidP="008A1EF1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E7693F">
      <w:rPr>
        <w:sz w:val="20"/>
      </w:rPr>
      <w:fldChar w:fldCharType="begin"/>
    </w:r>
    <w:r>
      <w:rPr>
        <w:sz w:val="20"/>
      </w:rPr>
      <w:instrText xml:space="preserve"> page </w:instrText>
    </w:r>
    <w:r w:rsidR="00E7693F">
      <w:rPr>
        <w:sz w:val="20"/>
      </w:rPr>
      <w:fldChar w:fldCharType="separate"/>
    </w:r>
    <w:r w:rsidR="003D5C3E">
      <w:rPr>
        <w:noProof/>
        <w:sz w:val="20"/>
      </w:rPr>
      <w:t>2</w:t>
    </w:r>
    <w:r w:rsidR="00E7693F">
      <w:rPr>
        <w:sz w:val="20"/>
      </w:rPr>
      <w:fldChar w:fldCharType="end"/>
    </w:r>
    <w:r>
      <w:rPr>
        <w:sz w:val="20"/>
      </w:rPr>
      <w:t xml:space="preserve"> / </w:t>
    </w:r>
    <w:r w:rsidR="00E7693F">
      <w:rPr>
        <w:sz w:val="20"/>
      </w:rPr>
      <w:fldChar w:fldCharType="begin"/>
    </w:r>
    <w:r>
      <w:rPr>
        <w:sz w:val="20"/>
      </w:rPr>
      <w:instrText xml:space="preserve"> numpages </w:instrText>
    </w:r>
    <w:r w:rsidR="00E7693F">
      <w:rPr>
        <w:sz w:val="20"/>
      </w:rPr>
      <w:fldChar w:fldCharType="separate"/>
    </w:r>
    <w:r w:rsidR="003D5C3E">
      <w:rPr>
        <w:noProof/>
        <w:sz w:val="20"/>
      </w:rPr>
      <w:t>2</w:t>
    </w:r>
    <w:r w:rsidR="00E7693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93" w:rsidRDefault="001F0193" w:rsidP="00F15583">
      <w:r>
        <w:separator/>
      </w:r>
    </w:p>
  </w:footnote>
  <w:footnote w:type="continuationSeparator" w:id="0">
    <w:p w:rsidR="001F0193" w:rsidRDefault="001F0193" w:rsidP="00F15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Default="00F80AD8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4AED"/>
    <w:multiLevelType w:val="hybridMultilevel"/>
    <w:tmpl w:val="CF5EE53A"/>
    <w:lvl w:ilvl="0" w:tplc="802CAEC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83"/>
    <w:rsid w:val="000B1FC5"/>
    <w:rsid w:val="000F0DDF"/>
    <w:rsid w:val="001006B3"/>
    <w:rsid w:val="00115C35"/>
    <w:rsid w:val="001963C1"/>
    <w:rsid w:val="001F0193"/>
    <w:rsid w:val="00244F2C"/>
    <w:rsid w:val="002544D7"/>
    <w:rsid w:val="00296565"/>
    <w:rsid w:val="002A6F7C"/>
    <w:rsid w:val="002C1176"/>
    <w:rsid w:val="0033569B"/>
    <w:rsid w:val="003D5C3E"/>
    <w:rsid w:val="003D6A37"/>
    <w:rsid w:val="004174A9"/>
    <w:rsid w:val="004B2201"/>
    <w:rsid w:val="004B7414"/>
    <w:rsid w:val="00510E0B"/>
    <w:rsid w:val="005C35EC"/>
    <w:rsid w:val="00624785"/>
    <w:rsid w:val="00781A10"/>
    <w:rsid w:val="00782B14"/>
    <w:rsid w:val="007C1799"/>
    <w:rsid w:val="008A1EF1"/>
    <w:rsid w:val="008E3F13"/>
    <w:rsid w:val="00952606"/>
    <w:rsid w:val="00AB0991"/>
    <w:rsid w:val="00AC226D"/>
    <w:rsid w:val="00C46F9C"/>
    <w:rsid w:val="00C779A2"/>
    <w:rsid w:val="00CB2715"/>
    <w:rsid w:val="00D20549"/>
    <w:rsid w:val="00D57635"/>
    <w:rsid w:val="00DA2DC1"/>
    <w:rsid w:val="00DB0564"/>
    <w:rsid w:val="00E7693F"/>
    <w:rsid w:val="00F14A45"/>
    <w:rsid w:val="00F15583"/>
    <w:rsid w:val="00F80AD8"/>
    <w:rsid w:val="00FC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A1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E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583"/>
    <w:rPr>
      <w:sz w:val="18"/>
      <w:szCs w:val="18"/>
    </w:rPr>
  </w:style>
  <w:style w:type="character" w:styleId="a5">
    <w:name w:val="annotation reference"/>
    <w:basedOn w:val="a0"/>
    <w:semiHidden/>
    <w:unhideWhenUsed/>
    <w:rsid w:val="00F15583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F15583"/>
    <w:pPr>
      <w:jc w:val="left"/>
    </w:pPr>
  </w:style>
  <w:style w:type="character" w:customStyle="1" w:styleId="Char1">
    <w:name w:val="批注文字 Char"/>
    <w:basedOn w:val="a0"/>
    <w:link w:val="a6"/>
    <w:semiHidden/>
    <w:rsid w:val="00F15583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F155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558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C22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15C35"/>
    <w:pPr>
      <w:ind w:firstLineChars="200" w:firstLine="420"/>
    </w:pPr>
  </w:style>
  <w:style w:type="paragraph" w:styleId="aa">
    <w:name w:val="Document Map"/>
    <w:basedOn w:val="a"/>
    <w:link w:val="Char3"/>
    <w:uiPriority w:val="99"/>
    <w:semiHidden/>
    <w:unhideWhenUsed/>
    <w:rsid w:val="001963C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1963C1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A1EF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A1EF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5406F-EBCD-4F4F-B14D-078509FC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10040053</dc:creator>
  <cp:keywords/>
  <dc:description/>
  <cp:lastModifiedBy>项启明</cp:lastModifiedBy>
  <cp:revision>19</cp:revision>
  <dcterms:created xsi:type="dcterms:W3CDTF">2019-12-19T05:34:00Z</dcterms:created>
  <dcterms:modified xsi:type="dcterms:W3CDTF">2020-02-26T04:11:00Z</dcterms:modified>
</cp:coreProperties>
</file>