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ascii="微软雅黑" w:hAnsi="微软雅黑" w:eastAsia="微软雅黑" w:cs="Arial"/>
          <w:color w:val="000000"/>
          <w:kern w:val="0"/>
          <w:sz w:val="24"/>
          <w:szCs w:val="24"/>
        </w:rPr>
      </w:pPr>
      <w:bookmarkStart w:id="0" w:name="OLE_LINK2"/>
      <w:bookmarkStart w:id="1" w:name="OLE_LINK1"/>
      <w:r>
        <w:rPr>
          <w:rFonts w:hint="eastAsia" w:ascii="微软雅黑" w:hAnsi="微软雅黑" w:eastAsia="微软雅黑" w:cs="Arial"/>
          <w:color w:val="000000"/>
          <w:kern w:val="0"/>
          <w:sz w:val="24"/>
          <w:szCs w:val="24"/>
        </w:rPr>
        <w:t>成都统一企业食品有限公司针对</w:t>
      </w:r>
      <w:r>
        <w:rPr>
          <w:rFonts w:hint="eastAsia" w:ascii="微软雅黑" w:hAnsi="微软雅黑" w:eastAsia="微软雅黑" w:cs="Arial"/>
          <w:b/>
          <w:color w:val="000000"/>
          <w:kern w:val="0"/>
          <w:sz w:val="24"/>
          <w:szCs w:val="24"/>
        </w:rPr>
        <w:t xml:space="preserve">2025-2027废油脂外卖服务项目 </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38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合同时间：2025年07月01日至2027年06月30日</w:t>
      </w:r>
      <w:r>
        <w:rPr>
          <w:rFonts w:hint="eastAsia" w:ascii="微软雅黑" w:hAnsi="微软雅黑" w:eastAsia="微软雅黑" w:cs="微软雅黑"/>
          <w:b w:val="0"/>
          <w:bCs w:val="0"/>
          <w:sz w:val="24"/>
          <w:szCs w:val="24"/>
        </w:rPr>
        <w:t>（以实际签订时间为准）</w:t>
      </w:r>
      <w:bookmarkStart w:id="2" w:name="_GoBack"/>
      <w:bookmarkEnd w:id="2"/>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1556" w:leftChars="202" w:hanging="1132" w:hangingChars="47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w:t>
      </w:r>
      <w:r>
        <w:rPr>
          <w:rFonts w:hint="eastAsia" w:ascii="微软雅黑" w:hAnsi="微软雅黑" w:eastAsia="微软雅黑"/>
          <w:bCs/>
          <w:sz w:val="24"/>
          <w:szCs w:val="24"/>
        </w:rPr>
        <w:t>成都市温江区蓉台大道北段18号</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w:t>
      </w:r>
    </w:p>
    <w:tbl>
      <w:tblPr>
        <w:tblStyle w:val="13"/>
        <w:tblW w:w="9859" w:type="dxa"/>
        <w:jc w:val="center"/>
        <w:tblLayout w:type="autofit"/>
        <w:tblCellMar>
          <w:top w:w="0" w:type="dxa"/>
          <w:left w:w="108" w:type="dxa"/>
          <w:bottom w:w="0" w:type="dxa"/>
          <w:right w:w="108" w:type="dxa"/>
        </w:tblCellMar>
      </w:tblPr>
      <w:tblGrid>
        <w:gridCol w:w="780"/>
        <w:gridCol w:w="1069"/>
        <w:gridCol w:w="1274"/>
        <w:gridCol w:w="1611"/>
        <w:gridCol w:w="5125"/>
      </w:tblGrid>
      <w:tr>
        <w:trPr>
          <w:trHeight w:val="343" w:hRule="atLeast"/>
          <w:jc w:val="center"/>
        </w:trPr>
        <w:tc>
          <w:tcPr>
            <w:tcW w:w="3123" w:type="dxa"/>
            <w:gridSpan w:val="3"/>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b/>
                <w:bCs/>
                <w:color w:val="000000"/>
                <w:kern w:val="0"/>
                <w:sz w:val="20"/>
              </w:rPr>
            </w:pPr>
            <w:r>
              <w:rPr>
                <w:rFonts w:hint="eastAsia" w:ascii="微软雅黑" w:hAnsi="微软雅黑" w:eastAsia="微软雅黑" w:cs="宋体"/>
                <w:b/>
                <w:bCs/>
                <w:color w:val="000000"/>
                <w:kern w:val="0"/>
                <w:sz w:val="20"/>
              </w:rPr>
              <w:t>项目</w:t>
            </w:r>
          </w:p>
        </w:tc>
        <w:tc>
          <w:tcPr>
            <w:tcW w:w="16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b/>
                <w:bCs/>
                <w:color w:val="000000"/>
                <w:kern w:val="0"/>
                <w:sz w:val="20"/>
              </w:rPr>
            </w:pPr>
            <w:r>
              <w:rPr>
                <w:rFonts w:hint="eastAsia" w:ascii="微软雅黑" w:hAnsi="微软雅黑" w:eastAsia="微软雅黑" w:cs="宋体"/>
                <w:b/>
                <w:bCs/>
                <w:color w:val="000000"/>
                <w:kern w:val="0"/>
                <w:sz w:val="20"/>
              </w:rPr>
              <w:t>计价单位</w:t>
            </w:r>
          </w:p>
        </w:tc>
        <w:tc>
          <w:tcPr>
            <w:tcW w:w="5125"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b/>
                <w:bCs/>
                <w:color w:val="000000"/>
                <w:kern w:val="0"/>
                <w:sz w:val="20"/>
              </w:rPr>
            </w:pPr>
            <w:r>
              <w:rPr>
                <w:rFonts w:hint="eastAsia" w:ascii="微软雅黑" w:hAnsi="微软雅黑" w:eastAsia="微软雅黑" w:cs="宋体"/>
                <w:b/>
                <w:bCs/>
                <w:color w:val="000000"/>
                <w:kern w:val="0"/>
                <w:sz w:val="20"/>
              </w:rPr>
              <w:t>定义</w:t>
            </w:r>
          </w:p>
        </w:tc>
      </w:tr>
      <w:tr>
        <w:trPr>
          <w:trHeight w:val="312" w:hRule="atLeast"/>
          <w:jc w:val="center"/>
        </w:trPr>
        <w:tc>
          <w:tcPr>
            <w:tcW w:w="3123" w:type="dxa"/>
            <w:gridSpan w:val="3"/>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b/>
                <w:bCs/>
                <w:color w:val="000000"/>
                <w:kern w:val="0"/>
                <w:sz w:val="20"/>
              </w:rPr>
            </w:pPr>
          </w:p>
        </w:tc>
        <w:tc>
          <w:tcPr>
            <w:tcW w:w="1611"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b/>
                <w:bCs/>
                <w:color w:val="000000"/>
                <w:kern w:val="0"/>
                <w:sz w:val="20"/>
              </w:rPr>
            </w:pPr>
          </w:p>
        </w:tc>
        <w:tc>
          <w:tcPr>
            <w:tcW w:w="5125" w:type="dxa"/>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b/>
                <w:bCs/>
                <w:color w:val="000000"/>
                <w:kern w:val="0"/>
                <w:sz w:val="20"/>
              </w:rPr>
            </w:pPr>
          </w:p>
        </w:tc>
      </w:tr>
      <w:tr>
        <w:trPr>
          <w:trHeight w:val="807" w:hRule="atLeast"/>
          <w:jc w:val="center"/>
        </w:trPr>
        <w:tc>
          <w:tcPr>
            <w:tcW w:w="780"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废油</w:t>
            </w:r>
          </w:p>
        </w:tc>
        <w:tc>
          <w:tcPr>
            <w:tcW w:w="1069"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废油类</w:t>
            </w:r>
          </w:p>
        </w:tc>
        <w:tc>
          <w:tcPr>
            <w:tcW w:w="12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废弃油脂</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月/元</w:t>
            </w:r>
          </w:p>
        </w:tc>
        <w:tc>
          <w:tcPr>
            <w:tcW w:w="51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从隔油池打捞上来的废弃油脂（含打捞水）、隔油池浮渣类免费打捞清运处理：</w:t>
            </w:r>
            <w:r>
              <w:rPr>
                <w:rFonts w:hint="eastAsia" w:ascii="微软雅黑" w:hAnsi="微软雅黑" w:eastAsia="微软雅黑"/>
                <w:color w:val="000000" w:themeColor="text1"/>
                <w:szCs w:val="21"/>
                <w:shd w:val="clear" w:color="auto" w:fill="FFFFFF"/>
              </w:rPr>
              <w:t>每周一次（或按甲方通知要求进行清理）每次清理后水面浮渣小于10%。</w:t>
            </w:r>
          </w:p>
        </w:tc>
      </w:tr>
      <w:tr>
        <w:trPr>
          <w:trHeight w:val="580" w:hRule="atLeast"/>
          <w:jc w:val="center"/>
        </w:trPr>
        <w:tc>
          <w:tcPr>
            <w:tcW w:w="7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color w:val="000000"/>
                <w:kern w:val="0"/>
                <w:sz w:val="20"/>
              </w:rPr>
            </w:pPr>
          </w:p>
        </w:tc>
        <w:tc>
          <w:tcPr>
            <w:tcW w:w="10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color w:val="000000"/>
                <w:kern w:val="0"/>
                <w:sz w:val="20"/>
              </w:rPr>
            </w:pPr>
          </w:p>
        </w:tc>
        <w:tc>
          <w:tcPr>
            <w:tcW w:w="127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废棕榈油</w:t>
            </w:r>
          </w:p>
        </w:tc>
        <w:tc>
          <w:tcPr>
            <w:tcW w:w="1611"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center"/>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元/吨</w:t>
            </w:r>
          </w:p>
        </w:tc>
        <w:tc>
          <w:tcPr>
            <w:tcW w:w="512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宋体"/>
                <w:color w:val="000000"/>
                <w:kern w:val="0"/>
                <w:sz w:val="20"/>
              </w:rPr>
            </w:pPr>
            <w:r>
              <w:rPr>
                <w:rFonts w:hint="eastAsia" w:ascii="微软雅黑" w:hAnsi="微软雅黑" w:eastAsia="微软雅黑" w:cs="宋体"/>
                <w:color w:val="000000"/>
                <w:kern w:val="0"/>
                <w:sz w:val="20"/>
              </w:rPr>
              <w:t>生产线报废的废弃棕榈油</w:t>
            </w:r>
          </w:p>
        </w:tc>
      </w:tr>
    </w:tbl>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项目要求：取得相关部门的授权，根据甲方合同要求与通知由乙方至甲方厂区内自行打捞并向甲方支付费用（先款后货）。</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w:t>
      </w:r>
      <w:r>
        <w:rPr>
          <w:rFonts w:hint="eastAsia" w:ascii="微软雅黑" w:hAnsi="微软雅黑" w:eastAsia="微软雅黑" w:cs="微软雅黑"/>
          <w:b w:val="0"/>
          <w:bCs w:val="0"/>
          <w:color w:val="000000"/>
          <w:kern w:val="0"/>
          <w:sz w:val="24"/>
          <w:szCs w:val="24"/>
        </w:rPr>
        <w:t>投标保证金</w:t>
      </w:r>
      <w:r>
        <w:rPr>
          <w:rFonts w:hint="eastAsia" w:ascii="微软雅黑" w:hAnsi="微软雅黑" w:eastAsia="微软雅黑" w:cs="微软雅黑"/>
          <w:b w:val="0"/>
          <w:bCs w:val="0"/>
          <w:color w:val="000000"/>
          <w:kern w:val="0"/>
          <w:sz w:val="24"/>
          <w:szCs w:val="24"/>
          <w:lang w:val="en-US" w:eastAsia="zh-CN"/>
        </w:rPr>
        <w:t>2</w:t>
      </w:r>
      <w:r>
        <w:rPr>
          <w:rFonts w:hint="eastAsia" w:ascii="微软雅黑" w:hAnsi="微软雅黑" w:eastAsia="微软雅黑" w:cs="微软雅黑"/>
          <w:b w:val="0"/>
          <w:bCs w:val="0"/>
          <w:color w:val="000000"/>
          <w:kern w:val="0"/>
          <w:sz w:val="24"/>
          <w:szCs w:val="24"/>
        </w:rPr>
        <w:t>万元；</w:t>
      </w:r>
      <w:r>
        <w:rPr>
          <w:rFonts w:hint="eastAsia" w:ascii="微软雅黑" w:hAnsi="微软雅黑" w:eastAsia="微软雅黑" w:cs="微软雅黑"/>
          <w:b w:val="0"/>
          <w:bCs w:val="0"/>
          <w:kern w:val="0"/>
          <w:sz w:val="24"/>
          <w:szCs w:val="24"/>
        </w:rPr>
        <w:t>履约保证金依中标时确认的预估总费用金额</w:t>
      </w:r>
      <w:r>
        <w:rPr>
          <w:rFonts w:hint="eastAsia" w:ascii="微软雅黑" w:hAnsi="微软雅黑" w:eastAsia="微软雅黑" w:cs="微软雅黑"/>
          <w:b w:val="0"/>
          <w:bCs w:val="0"/>
          <w:color w:val="000000"/>
          <w:kern w:val="0"/>
          <w:sz w:val="24"/>
          <w:szCs w:val="24"/>
        </w:rPr>
        <w:t>5%</w:t>
      </w:r>
      <w:r>
        <w:rPr>
          <w:rFonts w:hint="eastAsia" w:ascii="微软雅黑" w:hAnsi="微软雅黑" w:eastAsia="微软雅黑" w:cs="微软雅黑"/>
          <w:b w:val="0"/>
          <w:bCs w:val="0"/>
          <w:kern w:val="0"/>
          <w:sz w:val="24"/>
          <w:szCs w:val="24"/>
        </w:rPr>
        <w:t>核算</w:t>
      </w:r>
      <w:r>
        <w:rPr>
          <w:rFonts w:hint="eastAsia" w:ascii="微软雅黑" w:hAnsi="微软雅黑" w:eastAsia="微软雅黑" w:cs="微软雅黑"/>
          <w:b w:val="0"/>
          <w:bCs w:val="0"/>
          <w:color w:val="000000"/>
          <w:kern w:val="0"/>
          <w:sz w:val="24"/>
          <w:szCs w:val="24"/>
        </w:rPr>
        <w:t>，具体以招标说明书为准。</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kinsoku/>
        <w:wordWrap/>
        <w:overflowPunct/>
        <w:topLinePunct w:val="0"/>
        <w:autoSpaceDE/>
        <w:autoSpaceDN/>
        <w:bidi w:val="0"/>
        <w:adjustRightInd/>
        <w:snapToGrid/>
        <w:spacing w:line="380" w:lineRule="exact"/>
        <w:ind w:left="767" w:leftChars="202" w:hanging="343" w:hangingChars="143"/>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2.1废弃油脂回收/处置相关经营范围。取得相关部门的授权（</w:t>
      </w:r>
      <w:r>
        <w:rPr>
          <w:rFonts w:hint="eastAsia" w:ascii="微软雅黑" w:hAnsi="微软雅黑" w:eastAsia="微软雅黑"/>
          <w:color w:val="000000"/>
          <w:sz w:val="24"/>
          <w:szCs w:val="24"/>
        </w:rPr>
        <w:t>排污许可证、环保批文、餐厨垃圾处置相关证件</w:t>
      </w:r>
      <w:r>
        <w:rPr>
          <w:rFonts w:hint="eastAsia" w:ascii="微软雅黑" w:hAnsi="微软雅黑" w:eastAsia="微软雅黑" w:cs="Arial"/>
          <w:color w:val="000000"/>
          <w:kern w:val="0"/>
          <w:sz w:val="24"/>
          <w:szCs w:val="24"/>
        </w:rPr>
        <w:t>）。</w:t>
      </w:r>
    </w:p>
    <w:p>
      <w:pPr>
        <w:keepNext w:val="0"/>
        <w:keepLines w:val="0"/>
        <w:pageBreakBefore w:val="0"/>
        <w:kinsoku/>
        <w:wordWrap/>
        <w:overflowPunct/>
        <w:topLinePunct w:val="0"/>
        <w:autoSpaceDE/>
        <w:autoSpaceDN/>
        <w:bidi w:val="0"/>
        <w:adjustRightInd/>
        <w:snapToGrid/>
        <w:spacing w:line="380" w:lineRule="exact"/>
        <w:ind w:left="767" w:leftChars="202" w:hanging="343" w:hangingChars="143"/>
        <w:textAlignment w:val="auto"/>
        <w:rPr>
          <w:rFonts w:hint="eastAsia"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2.2执业年限：≥1年</w:t>
      </w:r>
    </w:p>
    <w:p>
      <w:pPr>
        <w:keepNext w:val="0"/>
        <w:keepLines w:val="0"/>
        <w:pageBreakBefore w:val="0"/>
        <w:kinsoku/>
        <w:wordWrap/>
        <w:overflowPunct/>
        <w:topLinePunct w:val="0"/>
        <w:autoSpaceDE/>
        <w:autoSpaceDN/>
        <w:bidi w:val="0"/>
        <w:adjustRightInd/>
        <w:snapToGrid/>
        <w:spacing w:line="380" w:lineRule="exact"/>
        <w:ind w:left="767" w:leftChars="202" w:hanging="343" w:hangingChars="143"/>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2.3</w:t>
      </w:r>
      <w:r>
        <w:rPr>
          <w:rFonts w:hint="eastAsia" w:ascii="微软雅黑" w:hAnsi="微软雅黑" w:eastAsia="微软雅黑"/>
          <w:sz w:val="24"/>
          <w:szCs w:val="24"/>
          <w:shd w:val="clear" w:color="auto" w:fill="FFFFFF"/>
        </w:rPr>
        <w:t>确保环安风险可控，限四川省内厂商，不作跨省转移。</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38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18</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24</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
          <w:bCs/>
          <w:color w:val="000000"/>
          <w:kern w:val="0"/>
          <w:sz w:val="24"/>
          <w:szCs w:val="24"/>
          <w:u w:val="single"/>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380" w:lineRule="exac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left="424" w:leftChars="201" w:hanging="2"/>
        <w:jc w:val="left"/>
        <w:textAlignment w:val="auto"/>
        <w:rPr>
          <w:rFonts w:ascii="微软雅黑" w:hAnsi="微软雅黑" w:eastAsia="微软雅黑" w:cs="Arial"/>
          <w:b/>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
          <w:bCs/>
          <w:color w:val="000000"/>
          <w:kern w:val="0"/>
          <w:sz w:val="24"/>
          <w:szCs w:val="24"/>
          <w:u w:val="single"/>
        </w:rPr>
        <w:t>审计管理部</w:t>
      </w:r>
      <w:r>
        <w:rPr>
          <w:rFonts w:hint="eastAsia" w:ascii="微软雅黑" w:hAnsi="微软雅黑" w:eastAsia="微软雅黑" w:cs="Arial"/>
          <w:color w:val="000000"/>
          <w:kern w:val="0"/>
          <w:sz w:val="24"/>
          <w:szCs w:val="24"/>
        </w:rPr>
        <w:t>投诉（反贪腐直通车）：邮箱（fanfu@pec.com.cn）、电话 （18221429653）</w:t>
      </w:r>
      <w:r>
        <w:rPr>
          <w:rFonts w:hint="eastAsia" w:ascii="微软雅黑" w:hAnsi="微软雅黑" w:eastAsia="微软雅黑" w:cs="Arial"/>
          <w:b/>
          <w:color w:val="000000"/>
          <w:kern w:val="0"/>
          <w:sz w:val="24"/>
          <w:szCs w:val="24"/>
        </w:rPr>
        <w:t>。</w:t>
      </w:r>
      <w:bookmarkEnd w:id="0"/>
      <w:bookmarkEnd w:id="1"/>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成都统一2025-2027废油脂外卖服务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 xml:space="preserve">受托人手机号码：   </w:t>
      </w:r>
      <w:r>
        <w:rPr>
          <w:rFonts w:hint="eastAsia"/>
          <w:sz w:val="28"/>
        </w:rPr>
        <w:t>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授权受托人代为参加</w:t>
      </w:r>
      <w:r>
        <w:rPr>
          <w:rFonts w:hint="eastAsia"/>
          <w:b/>
          <w:bCs/>
          <w:sz w:val="28"/>
          <w:u w:val="single"/>
        </w:rPr>
        <w:t>成都统一企业食品有限公司2025-2027废油脂外卖服务项目</w:t>
      </w:r>
      <w:r>
        <w:rPr>
          <w:rFonts w:hint="eastAsia"/>
          <w:sz w:val="28"/>
        </w:rPr>
        <w:t>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，均代表授权公司的行为，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成都  </w:t>
      </w:r>
      <w:r>
        <w:rPr>
          <w:rFonts w:hint="eastAsia"/>
          <w:sz w:val="28"/>
        </w:rPr>
        <w:t>统一企业食品有限公司项目招标活动结束时止，如中标至与招标人签订项目合同执行完毕为止。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签署日期：年月日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C7EBD"/>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3992"/>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F86"/>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1348"/>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4A6B"/>
    <w:rsid w:val="00426617"/>
    <w:rsid w:val="00430303"/>
    <w:rsid w:val="004332B2"/>
    <w:rsid w:val="004341A1"/>
    <w:rsid w:val="0043569F"/>
    <w:rsid w:val="004375E0"/>
    <w:rsid w:val="00440165"/>
    <w:rsid w:val="00440A80"/>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B472D"/>
    <w:rsid w:val="004C217C"/>
    <w:rsid w:val="004C510E"/>
    <w:rsid w:val="004C5899"/>
    <w:rsid w:val="004C7506"/>
    <w:rsid w:val="004D0799"/>
    <w:rsid w:val="004D0E48"/>
    <w:rsid w:val="004D2EDF"/>
    <w:rsid w:val="004D2FE6"/>
    <w:rsid w:val="004D3263"/>
    <w:rsid w:val="004D3BD9"/>
    <w:rsid w:val="004D5115"/>
    <w:rsid w:val="004D7A27"/>
    <w:rsid w:val="004D7C21"/>
    <w:rsid w:val="004E0933"/>
    <w:rsid w:val="004E4336"/>
    <w:rsid w:val="004E5CB6"/>
    <w:rsid w:val="004F504F"/>
    <w:rsid w:val="00500E06"/>
    <w:rsid w:val="005013B2"/>
    <w:rsid w:val="0050172D"/>
    <w:rsid w:val="00504FB2"/>
    <w:rsid w:val="00505305"/>
    <w:rsid w:val="005053A1"/>
    <w:rsid w:val="00506758"/>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57826"/>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64ED"/>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555E"/>
    <w:rsid w:val="006E609F"/>
    <w:rsid w:val="006E7294"/>
    <w:rsid w:val="006E768F"/>
    <w:rsid w:val="006E7C65"/>
    <w:rsid w:val="006F2DEE"/>
    <w:rsid w:val="006F334E"/>
    <w:rsid w:val="006F36B2"/>
    <w:rsid w:val="006F4A34"/>
    <w:rsid w:val="006F4E2F"/>
    <w:rsid w:val="006F74D3"/>
    <w:rsid w:val="00701003"/>
    <w:rsid w:val="007019B0"/>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1813"/>
    <w:rsid w:val="00773371"/>
    <w:rsid w:val="007747EC"/>
    <w:rsid w:val="00775192"/>
    <w:rsid w:val="007759AA"/>
    <w:rsid w:val="0077713C"/>
    <w:rsid w:val="00780373"/>
    <w:rsid w:val="00781B6A"/>
    <w:rsid w:val="007833F6"/>
    <w:rsid w:val="00783868"/>
    <w:rsid w:val="00785C2D"/>
    <w:rsid w:val="0078677B"/>
    <w:rsid w:val="0079090D"/>
    <w:rsid w:val="00791D28"/>
    <w:rsid w:val="0079293F"/>
    <w:rsid w:val="00793224"/>
    <w:rsid w:val="00793E29"/>
    <w:rsid w:val="00795835"/>
    <w:rsid w:val="007966C9"/>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514A"/>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1F6B"/>
    <w:rsid w:val="009B2AC6"/>
    <w:rsid w:val="009B6F1F"/>
    <w:rsid w:val="009C1435"/>
    <w:rsid w:val="009C4C2B"/>
    <w:rsid w:val="009D0A27"/>
    <w:rsid w:val="009D1D20"/>
    <w:rsid w:val="009D3D00"/>
    <w:rsid w:val="009D5FB6"/>
    <w:rsid w:val="009D654B"/>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27B93"/>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65EA4"/>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4D6E"/>
    <w:rsid w:val="00AC5216"/>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0B8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37A"/>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39F7ED0A"/>
    <w:rsid w:val="537EB644"/>
    <w:rsid w:val="73F8B4DE"/>
    <w:rsid w:val="7BF77CC0"/>
    <w:rsid w:val="7BFD658E"/>
    <w:rsid w:val="7FB8763B"/>
    <w:rsid w:val="7FCDB905"/>
    <w:rsid w:val="7FF7CA96"/>
    <w:rsid w:val="BFB9145F"/>
    <w:rsid w:val="DFBC2DAC"/>
    <w:rsid w:val="EB63AD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basedOn w:val="14"/>
    <w:link w:val="3"/>
    <w:semiHidden/>
    <w:qFormat/>
    <w:uiPriority w:val="0"/>
    <w:rPr>
      <w:kern w:val="2"/>
      <w:sz w:val="21"/>
    </w:rPr>
  </w:style>
  <w:style w:type="character" w:customStyle="1" w:styleId="20">
    <w:name w:val="批注主题 Char"/>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Char"/>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1</Pages>
  <Words>256</Words>
  <Characters>1461</Characters>
  <Lines>12</Lines>
  <Paragraphs>3</Paragraphs>
  <TotalTime>0</TotalTime>
  <ScaleCrop>false</ScaleCrop>
  <LinksUpToDate>false</LinksUpToDate>
  <CharactersWithSpaces>1714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2024-08-08T11:00:00Z</dcterms:created>
  <dc:creator>grdpec</dc:creator>
  <cp:keywords>标准</cp:keywords>
  <cp:lastModifiedBy>管明明明</cp:lastModifiedBy>
  <cp:lastPrinted>2017-11-15T01:02:00Z</cp:lastPrinted>
  <dcterms:modified xsi:type="dcterms:W3CDTF">2025-04-15T16:51:46Z</dcterms:modified>
  <dc:subject>昆山研究所标准书模板</dc:subject>
  <dc:title>stdbook</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ies>
</file>