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418" w:afterLines="100" w:line="360" w:lineRule="exact"/>
        <w:jc w:val="center"/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  <w:t>招标信息公告</w:t>
      </w:r>
    </w:p>
    <w:p>
      <w:pPr>
        <w:widowControl/>
        <w:ind w:firstLine="420" w:firstLineChars="200"/>
        <w:jc w:val="left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/>
        </w:rPr>
        <w:t>武汉统一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针对</w:t>
      </w: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1"/>
          <w:szCs w:val="21"/>
        </w:rPr>
        <w:t>2024-2025年度一般</w:t>
      </w: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1"/>
          <w:szCs w:val="21"/>
          <w:lang w:val="en-US" w:eastAsia="zh-CN"/>
        </w:rPr>
        <w:t>类</w:t>
      </w: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1"/>
          <w:szCs w:val="21"/>
        </w:rPr>
        <w:t>下脚品外卖服务项目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招标，公开征集符合如下要求的服务商伙伴：</w:t>
      </w:r>
    </w:p>
    <w:p>
      <w:pPr>
        <w:widowControl/>
        <w:spacing w:line="360" w:lineRule="exact"/>
        <w:jc w:val="left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1、项目概述：</w:t>
      </w:r>
    </w:p>
    <w:p>
      <w:pPr>
        <w:widowControl/>
        <w:shd w:val="clear" w:color="auto" w:fill="FFFFFF"/>
        <w:ind w:firstLine="123" w:firstLineChars="59"/>
        <w:jc w:val="left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1.1合同时间：2024年11月1日至2025年05月31日（以实际签订时间为准）</w:t>
      </w:r>
    </w:p>
    <w:p>
      <w:pPr>
        <w:widowControl/>
        <w:shd w:val="clear" w:color="auto" w:fill="FFFFFF"/>
        <w:ind w:firstLine="123" w:firstLineChars="59"/>
        <w:jc w:val="left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1.2项目地点及项目分类说明：</w:t>
      </w:r>
    </w:p>
    <w:p>
      <w:pPr>
        <w:widowControl/>
        <w:shd w:val="clear" w:color="auto" w:fill="FFFFFF"/>
        <w:ind w:left="639" w:leftChars="68" w:hanging="496" w:hangingChars="236"/>
        <w:jc w:val="left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color w:val="000000"/>
          <w:kern w:val="0"/>
          <w:sz w:val="21"/>
          <w:szCs w:val="21"/>
        </w:rPr>
        <w:t>（1）项目地址：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武汉统一企业食品有限公司厂内（</w:t>
      </w:r>
      <w:r>
        <w:rPr>
          <w:rFonts w:hint="eastAsia" w:ascii="微软雅黑" w:hAnsi="微软雅黑" w:eastAsia="微软雅黑" w:cs="微软雅黑"/>
          <w:sz w:val="21"/>
          <w:szCs w:val="21"/>
        </w:rPr>
        <w:t>湖北省武汉市东西湖区吴家山街东西湖大道6007号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）</w:t>
      </w:r>
    </w:p>
    <w:p>
      <w:pPr>
        <w:widowControl/>
        <w:shd w:val="clear" w:color="auto" w:fill="FFFFFF"/>
        <w:ind w:left="639" w:leftChars="68" w:hanging="496" w:hangingChars="236"/>
        <w:jc w:val="left"/>
        <w:rPr>
          <w:rFonts w:hint="eastAsia" w:ascii="微软雅黑" w:hAnsi="微软雅黑" w:eastAsia="微软雅黑" w:cs="微软雅黑"/>
          <w:b/>
          <w:color w:val="000000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color w:val="000000"/>
          <w:kern w:val="0"/>
          <w:sz w:val="21"/>
          <w:szCs w:val="21"/>
        </w:rPr>
        <w:t>（2）项目分类说明：</w:t>
      </w:r>
    </w:p>
    <w:tbl>
      <w:tblPr>
        <w:tblStyle w:val="13"/>
        <w:tblW w:w="10679" w:type="dxa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2"/>
        <w:gridCol w:w="427"/>
        <w:gridCol w:w="1364"/>
        <w:gridCol w:w="739"/>
        <w:gridCol w:w="7797"/>
      </w:tblGrid>
      <w:tr>
        <w:trPr>
          <w:wAfter w:w="0" w:type="auto"/>
          <w:trHeight w:val="220" w:hRule="atLeast"/>
        </w:trPr>
        <w:tc>
          <w:tcPr>
            <w:tcW w:w="77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18"/>
                <w:szCs w:val="18"/>
              </w:rPr>
              <w:t>项目</w:t>
            </w:r>
          </w:p>
        </w:tc>
        <w:tc>
          <w:tcPr>
            <w:tcW w:w="99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18"/>
                <w:szCs w:val="18"/>
              </w:rPr>
              <w:t>修订前</w:t>
            </w:r>
          </w:p>
        </w:tc>
      </w:tr>
      <w:tr>
        <w:trPr>
          <w:trHeight w:val="501" w:hRule="atLeast"/>
        </w:trPr>
        <w:tc>
          <w:tcPr>
            <w:tcW w:w="77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18"/>
                <w:szCs w:val="18"/>
              </w:rPr>
              <w:t>名称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18"/>
                <w:szCs w:val="18"/>
              </w:rPr>
              <w:t>计价单位</w:t>
            </w:r>
          </w:p>
        </w:tc>
        <w:tc>
          <w:tcPr>
            <w:tcW w:w="7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18"/>
                <w:szCs w:val="18"/>
              </w:rPr>
              <w:t>定义</w:t>
            </w:r>
          </w:p>
        </w:tc>
      </w:tr>
      <w:tr>
        <w:trPr>
          <w:trHeight w:val="220" w:hRule="atLeast"/>
        </w:trPr>
        <w:tc>
          <w:tcPr>
            <w:tcW w:w="3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一般类</w:t>
            </w:r>
          </w:p>
        </w:tc>
        <w:tc>
          <w:tcPr>
            <w:tcW w:w="4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废纸类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瓶盖纸箱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元/个</w:t>
            </w:r>
          </w:p>
        </w:tc>
        <w:tc>
          <w:tcPr>
            <w:tcW w:w="7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完好的瓶盖纸箱（依各区域的招标说明会及各厂报价单中规格为准）</w:t>
            </w:r>
          </w:p>
        </w:tc>
      </w:tr>
      <w:tr>
        <w:trPr>
          <w:trHeight w:val="220" w:hRule="atLeast"/>
        </w:trPr>
        <w:tc>
          <w:tcPr>
            <w:tcW w:w="3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纸碗纸箱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元/个</w:t>
            </w:r>
          </w:p>
        </w:tc>
        <w:tc>
          <w:tcPr>
            <w:tcW w:w="7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完好的纸碗纸箱（依各区域的招标说明会及各厂报价单中规格为准）</w:t>
            </w:r>
          </w:p>
        </w:tc>
      </w:tr>
      <w:tr>
        <w:trPr>
          <w:trHeight w:val="220" w:hRule="atLeast"/>
        </w:trPr>
        <w:tc>
          <w:tcPr>
            <w:tcW w:w="3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PP碗纸箱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元/个</w:t>
            </w:r>
          </w:p>
        </w:tc>
        <w:tc>
          <w:tcPr>
            <w:tcW w:w="7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完好的PP碗纸箱（依各区域的招标说明会及各厂报价单中规格为准）</w:t>
            </w:r>
          </w:p>
        </w:tc>
      </w:tr>
      <w:tr>
        <w:trPr>
          <w:trHeight w:val="220" w:hRule="atLeast"/>
        </w:trPr>
        <w:tc>
          <w:tcPr>
            <w:tcW w:w="3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标签纸箱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元/个</w:t>
            </w:r>
          </w:p>
        </w:tc>
        <w:tc>
          <w:tcPr>
            <w:tcW w:w="7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完好的标签纸箱（依各区域的招标说明会及各厂报价单中规格为准）</w:t>
            </w:r>
          </w:p>
        </w:tc>
      </w:tr>
      <w:tr>
        <w:trPr>
          <w:trHeight w:val="220" w:hRule="atLeast"/>
        </w:trPr>
        <w:tc>
          <w:tcPr>
            <w:tcW w:w="3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废纸板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元/吨</w:t>
            </w:r>
          </w:p>
        </w:tc>
        <w:tc>
          <w:tcPr>
            <w:tcW w:w="7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除按个售卖的瓶盖、纸碗、PP碗、标签纸箱外的其他纸箱（含破损的按个售卖纸箱）</w:t>
            </w:r>
          </w:p>
        </w:tc>
      </w:tr>
      <w:tr>
        <w:trPr>
          <w:trHeight w:val="286" w:hRule="atLeast"/>
        </w:trPr>
        <w:tc>
          <w:tcPr>
            <w:tcW w:w="3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硬纸板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元/吨</w:t>
            </w:r>
          </w:p>
        </w:tc>
        <w:tc>
          <w:tcPr>
            <w:tcW w:w="7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包装类卷芯、原料纸筒、缠绕膜卷芯、设备包装硬纸板等其他与前述材质一致的硬纸板</w:t>
            </w:r>
          </w:p>
        </w:tc>
      </w:tr>
      <w:tr>
        <w:trPr>
          <w:trHeight w:val="434" w:hRule="atLeast"/>
        </w:trPr>
        <w:tc>
          <w:tcPr>
            <w:tcW w:w="3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其他废纸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元/吨</w:t>
            </w:r>
          </w:p>
        </w:tc>
        <w:tc>
          <w:tcPr>
            <w:tcW w:w="7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①方便面废白纸桶、彩色纸桶等其他与前述材质一致的淋膜纸；②粉碎后的报表纸；③报废的书籍；④废旧快递信封；⑤与前述类似的其他废纸；⑥不干胶标签底纸。</w:t>
            </w:r>
          </w:p>
        </w:tc>
      </w:tr>
      <w:tr>
        <w:trPr>
          <w:trHeight w:val="253" w:hRule="atLeast"/>
        </w:trPr>
        <w:tc>
          <w:tcPr>
            <w:tcW w:w="3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4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编织袋类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白糖编织口袋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元/个</w:t>
            </w:r>
          </w:p>
        </w:tc>
        <w:tc>
          <w:tcPr>
            <w:tcW w:w="7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完好的白糖编织口袋（四围和底部未划破，袋子未污染，含PE内袋）</w:t>
            </w:r>
          </w:p>
        </w:tc>
      </w:tr>
      <w:tr>
        <w:trPr>
          <w:trHeight w:val="253" w:hRule="atLeast"/>
        </w:trPr>
        <w:tc>
          <w:tcPr>
            <w:tcW w:w="3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粉类编织口袋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元/个</w:t>
            </w:r>
          </w:p>
        </w:tc>
        <w:tc>
          <w:tcPr>
            <w:tcW w:w="7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完好的淀粉或面粉编织口袋（四围和底部未划破，袋子未污染）</w:t>
            </w:r>
          </w:p>
        </w:tc>
      </w:tr>
      <w:tr>
        <w:trPr>
          <w:trHeight w:val="253" w:hRule="atLeast"/>
        </w:trPr>
        <w:tc>
          <w:tcPr>
            <w:tcW w:w="3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聚脂切片口袋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元/个</w:t>
            </w:r>
          </w:p>
        </w:tc>
        <w:tc>
          <w:tcPr>
            <w:tcW w:w="7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完好的聚酯口袋（四围和底部未划破，袋子未污染，不含PE内袋）</w:t>
            </w:r>
          </w:p>
        </w:tc>
      </w:tr>
      <w:tr>
        <w:trPr>
          <w:trHeight w:val="253" w:hRule="atLeast"/>
        </w:trPr>
        <w:tc>
          <w:tcPr>
            <w:tcW w:w="3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大米编织口袋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元/个</w:t>
            </w:r>
          </w:p>
        </w:tc>
        <w:tc>
          <w:tcPr>
            <w:tcW w:w="7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完好米袋（四围和底部未划破，袋子未污染）（仅金山厂）</w:t>
            </w:r>
          </w:p>
        </w:tc>
      </w:tr>
      <w:tr>
        <w:trPr>
          <w:trHeight w:val="434" w:hRule="atLeast"/>
        </w:trPr>
        <w:tc>
          <w:tcPr>
            <w:tcW w:w="3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4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废塑料类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PET白料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元/吨</w:t>
            </w:r>
          </w:p>
        </w:tc>
        <w:tc>
          <w:tcPr>
            <w:tcW w:w="7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无色PET瓶胚、无色PET空瓶、饮料成品报废后的无色PET空瓶（此部分瓶颈上带有非PET材质瓶盖环）</w:t>
            </w:r>
          </w:p>
        </w:tc>
      </w:tr>
      <w:tr>
        <w:trPr>
          <w:trHeight w:val="434" w:hRule="atLeast"/>
        </w:trPr>
        <w:tc>
          <w:tcPr>
            <w:tcW w:w="3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PET有色料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元/吨</w:t>
            </w:r>
          </w:p>
        </w:tc>
        <w:tc>
          <w:tcPr>
            <w:tcW w:w="7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有色PET瓶胚、有色PET空瓶、饮料成品报废后的有色PET空瓶（此部分瓶颈上带有非PET材质瓶盖环）</w:t>
            </w:r>
          </w:p>
        </w:tc>
      </w:tr>
      <w:tr>
        <w:trPr>
          <w:trHeight w:val="220" w:hRule="atLeast"/>
        </w:trPr>
        <w:tc>
          <w:tcPr>
            <w:tcW w:w="3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开机废料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元/吨</w:t>
            </w:r>
          </w:p>
        </w:tc>
        <w:tc>
          <w:tcPr>
            <w:tcW w:w="7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瓶胚及瓶盖开机时的废料（含有色、无色、杂色）</w:t>
            </w:r>
          </w:p>
        </w:tc>
      </w:tr>
      <w:tr>
        <w:trPr>
          <w:trHeight w:val="434" w:hRule="atLeast"/>
        </w:trPr>
        <w:tc>
          <w:tcPr>
            <w:tcW w:w="3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PP、PE料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元/吨</w:t>
            </w:r>
          </w:p>
        </w:tc>
        <w:tc>
          <w:tcPr>
            <w:tcW w:w="7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①冷藏线PP杯；②饮料瓶盖；③饮料报废拎扣；④月饼托盒、托底；⑤其他与前述材质一致的PP、PE料。</w:t>
            </w:r>
          </w:p>
        </w:tc>
      </w:tr>
      <w:tr>
        <w:trPr>
          <w:trHeight w:val="648" w:hRule="atLeast"/>
        </w:trPr>
        <w:tc>
          <w:tcPr>
            <w:tcW w:w="3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废塑料膜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元/吨</w:t>
            </w:r>
          </w:p>
        </w:tc>
        <w:tc>
          <w:tcPr>
            <w:tcW w:w="7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PE塑料膜、PE塑料袋、食品原物料塑料内袋（不含被液体、半固体污染的内袋）、饮料原物料塑料内袋（不含被液体、半固体污染的内袋）、废塑料膜（含收缩膜、缠绕膜）等其他与前述材质一致的塑料膜</w:t>
            </w:r>
          </w:p>
        </w:tc>
      </w:tr>
      <w:tr>
        <w:trPr>
          <w:trHeight w:val="434" w:hRule="atLeast"/>
        </w:trPr>
        <w:tc>
          <w:tcPr>
            <w:tcW w:w="3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塑料桶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元/吨</w:t>
            </w:r>
          </w:p>
        </w:tc>
        <w:tc>
          <w:tcPr>
            <w:tcW w:w="7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食品添加剂桶、醋桶、酱油桶、香精桶、咖啡桶、食用酒精桶等其他与前述材质一致的塑料桶（不含危废类空桶）</w:t>
            </w:r>
          </w:p>
        </w:tc>
      </w:tr>
      <w:tr>
        <w:trPr>
          <w:trHeight w:val="648" w:hRule="atLeast"/>
        </w:trPr>
        <w:tc>
          <w:tcPr>
            <w:tcW w:w="3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废保利纸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元/吨</w:t>
            </w:r>
          </w:p>
        </w:tc>
        <w:tc>
          <w:tcPr>
            <w:tcW w:w="7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Style w:val="26"/>
                <w:rFonts w:hint="eastAsia" w:ascii="微软雅黑" w:hAnsi="微软雅黑" w:eastAsia="微软雅黑" w:cs="微软雅黑"/>
                <w:sz w:val="18"/>
                <w:szCs w:val="18"/>
              </w:rPr>
              <w:t>①废保丽纸（含成品报废后的保利纸包装袋）；②废标签纸（含成品报废后的标签纸）；③碗盖、桶盖（含直接报废的碗盖、桶盖）；</w:t>
            </w:r>
            <w:r>
              <w:rPr>
                <w:rStyle w:val="27"/>
                <w:rFonts w:hint="eastAsia" w:ascii="微软雅黑" w:hAnsi="微软雅黑" w:eastAsia="微软雅黑" w:cs="微软雅黑"/>
                <w:sz w:val="18"/>
                <w:szCs w:val="18"/>
              </w:rPr>
              <w:t>④料包薄膜（不含粉、料类、酱的空料包膜）；⑤其他与前述材质一致的废保利纸；</w:t>
            </w:r>
          </w:p>
        </w:tc>
      </w:tr>
      <w:tr>
        <w:trPr>
          <w:trHeight w:val="862" w:hRule="atLeast"/>
        </w:trPr>
        <w:tc>
          <w:tcPr>
            <w:tcW w:w="3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杂塑料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元/吨</w:t>
            </w:r>
          </w:p>
        </w:tc>
        <w:tc>
          <w:tcPr>
            <w:tcW w:w="7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①PP管、PPR管、橡胶管、高压管等各种报废的塑料管；②纸箱外面的打包带；③破损、污染的编织袋；④沾染液体原料的各种塑料袋（如：果汁内袋、葡萄糖浆内袋、椰子油内袋等）；⑤色拉油桶；⑥泡沫箱、泡沫板、广告KT板等；⑦盐袋、味精袋；⑧其他与前述描述材质一致的其他塑料制品；</w:t>
            </w:r>
          </w:p>
        </w:tc>
      </w:tr>
      <w:tr>
        <w:trPr>
          <w:trHeight w:val="434" w:hRule="atLeast"/>
        </w:trPr>
        <w:tc>
          <w:tcPr>
            <w:tcW w:w="3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FF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FF"/>
                <w:kern w:val="0"/>
                <w:sz w:val="18"/>
                <w:szCs w:val="18"/>
              </w:rPr>
              <w:t>废橡胶类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FF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FF"/>
                <w:kern w:val="0"/>
                <w:sz w:val="18"/>
                <w:szCs w:val="18"/>
              </w:rPr>
              <w:t>元/吨</w:t>
            </w:r>
          </w:p>
        </w:tc>
        <w:tc>
          <w:tcPr>
            <w:tcW w:w="7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FF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FF"/>
                <w:kern w:val="0"/>
                <w:sz w:val="18"/>
                <w:szCs w:val="18"/>
              </w:rPr>
              <w:t>①废旧轮胎（含空心、实心叉车轮胎、汽车轮胎）；②其他与前述描述材质一致的其他塑料制品；</w:t>
            </w:r>
          </w:p>
        </w:tc>
      </w:tr>
      <w:tr>
        <w:trPr>
          <w:trHeight w:val="434" w:hRule="atLeast"/>
        </w:trPr>
        <w:tc>
          <w:tcPr>
            <w:tcW w:w="3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42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废金属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废生熟铁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元/吨</w:t>
            </w:r>
          </w:p>
        </w:tc>
        <w:tc>
          <w:tcPr>
            <w:tcW w:w="7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①报废的铁质零件；②报废的大小铁罐（含TC罐等）；③报废的各种铁质材料边角料；④报废的铁质设备或资产；⑤与前述相近的其他生熟铁料；</w:t>
            </w:r>
          </w:p>
        </w:tc>
      </w:tr>
      <w:tr>
        <w:trPr>
          <w:trHeight w:val="434" w:hRule="atLeast"/>
        </w:trPr>
        <w:tc>
          <w:tcPr>
            <w:tcW w:w="3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废不锈钢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元/吨</w:t>
            </w:r>
          </w:p>
        </w:tc>
        <w:tc>
          <w:tcPr>
            <w:tcW w:w="7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①报废的不锈钢材质零件；②废不锈钢边角料（含201、304、316）；③报废的不锈钢质设备或资产；④与前述相近的其他不锈钢；</w:t>
            </w:r>
          </w:p>
        </w:tc>
      </w:tr>
      <w:tr>
        <w:trPr>
          <w:trHeight w:val="434" w:hRule="atLeast"/>
        </w:trPr>
        <w:tc>
          <w:tcPr>
            <w:tcW w:w="3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废铝及铝合金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元/吨</w:t>
            </w:r>
          </w:p>
        </w:tc>
        <w:tc>
          <w:tcPr>
            <w:tcW w:w="7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①废铝合金零件；②报废的AC罐；③废铝芯电缆线（含外皮）；④报废的铝合金材质设备或资产；⑤报废铝罐、盖（NBC);⑥与前述相近的其他废铝或铝合金；</w:t>
            </w:r>
          </w:p>
        </w:tc>
      </w:tr>
      <w:tr>
        <w:trPr>
          <w:trHeight w:val="434" w:hRule="atLeast"/>
        </w:trPr>
        <w:tc>
          <w:tcPr>
            <w:tcW w:w="3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废铜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元/吨</w:t>
            </w:r>
          </w:p>
        </w:tc>
        <w:tc>
          <w:tcPr>
            <w:tcW w:w="7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①报废的铜质零件（如：铜梳、铜刮、铜套等）及设备；②空调等制冷设备报废的铜管；③报废的铜芯电缆线（含外皮）；④电机铜线圈；</w:t>
            </w:r>
          </w:p>
        </w:tc>
      </w:tr>
      <w:tr>
        <w:trPr>
          <w:trHeight w:val="220" w:hRule="atLeast"/>
        </w:trPr>
        <w:tc>
          <w:tcPr>
            <w:tcW w:w="3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4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废铁桶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完整空桶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元/个</w:t>
            </w:r>
          </w:p>
        </w:tc>
        <w:tc>
          <w:tcPr>
            <w:tcW w:w="7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成套果汁原浆空铁桶（L）、大豆油空铁桶、番茄汁空铁桶等与前述类似的其他空桶</w:t>
            </w:r>
          </w:p>
        </w:tc>
      </w:tr>
      <w:tr>
        <w:trPr>
          <w:trHeight w:val="380" w:hRule="atLeast"/>
        </w:trPr>
        <w:tc>
          <w:tcPr>
            <w:tcW w:w="3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有损空桶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元/个</w:t>
            </w:r>
          </w:p>
        </w:tc>
        <w:tc>
          <w:tcPr>
            <w:tcW w:w="7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缺盖、硬伤型变形或破损原浆桶、大豆油空铁桶、番茄汁空铁桶等与前述类似的其他空桶</w:t>
            </w:r>
          </w:p>
        </w:tc>
      </w:tr>
      <w:tr>
        <w:trPr>
          <w:trHeight w:val="220" w:hRule="atLeast"/>
        </w:trPr>
        <w:tc>
          <w:tcPr>
            <w:tcW w:w="3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4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其他类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废活性炭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元/吨</w:t>
            </w:r>
          </w:p>
        </w:tc>
        <w:tc>
          <w:tcPr>
            <w:tcW w:w="7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废活性炭（非危废品）</w:t>
            </w:r>
          </w:p>
        </w:tc>
      </w:tr>
      <w:tr>
        <w:trPr>
          <w:trHeight w:val="220" w:hRule="atLeast"/>
        </w:trPr>
        <w:tc>
          <w:tcPr>
            <w:tcW w:w="3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废塑料栈板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元/吨</w:t>
            </w:r>
          </w:p>
        </w:tc>
        <w:tc>
          <w:tcPr>
            <w:tcW w:w="7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报废的塑料栈板（公司所有部门）</w:t>
            </w:r>
          </w:p>
        </w:tc>
      </w:tr>
      <w:tr>
        <w:trPr>
          <w:trHeight w:val="434" w:hRule="atLeast"/>
        </w:trPr>
        <w:tc>
          <w:tcPr>
            <w:tcW w:w="3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废板材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元/吨</w:t>
            </w:r>
          </w:p>
        </w:tc>
        <w:tc>
          <w:tcPr>
            <w:tcW w:w="7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报废木栈板、设备木箱、层板、破损家具板材、刨花板、颗粒板、竹胶板、木质包装箱等其他材质为木质的板材</w:t>
            </w:r>
          </w:p>
        </w:tc>
      </w:tr>
      <w:tr>
        <w:trPr>
          <w:trHeight w:val="388" w:hRule="atLeast"/>
        </w:trPr>
        <w:tc>
          <w:tcPr>
            <w:tcW w:w="3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其他包装袋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元/吨</w:t>
            </w:r>
          </w:p>
        </w:tc>
        <w:tc>
          <w:tcPr>
            <w:tcW w:w="7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内附锡箔纸口袋、热熔胶袋、植脂末口袋、品保原物料内袋、奶粉袋等于前述材质一致的包装袋；</w:t>
            </w:r>
          </w:p>
        </w:tc>
      </w:tr>
    </w:tbl>
    <w:p>
      <w:pPr>
        <w:widowControl/>
        <w:shd w:val="clear" w:color="auto" w:fill="FFFFFF"/>
        <w:ind w:left="639" w:leftChars="68" w:hanging="496" w:hangingChars="236"/>
        <w:jc w:val="left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color w:val="000000"/>
          <w:kern w:val="0"/>
          <w:sz w:val="21"/>
          <w:szCs w:val="21"/>
        </w:rPr>
        <w:t>（3）项目要求：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投标保证金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万元；履约保证金依中标金额5%缴纳（上限10万元），具体以项目说明书为准。</w:t>
      </w:r>
    </w:p>
    <w:p>
      <w:pPr>
        <w:widowControl/>
        <w:spacing w:line="360" w:lineRule="exact"/>
        <w:jc w:val="left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2、服务商资质要求：</w:t>
      </w:r>
    </w:p>
    <w:p>
      <w:pPr>
        <w:spacing w:line="360" w:lineRule="exact"/>
        <w:ind w:firstLine="543" w:firstLineChars="259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/>
        </w:rPr>
        <w:t>有效的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营业执照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eastAsia="zh-CN"/>
        </w:rPr>
        <w:t>，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具有废旧物资回收或再生资源回收相关的营业范围；</w:t>
      </w:r>
    </w:p>
    <w:p>
      <w:pPr>
        <w:jc w:val="left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3、报名方式：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79" w:leftChars="228" w:firstLine="0" w:firstLineChars="0"/>
        <w:textAlignment w:val="auto"/>
        <w:rPr>
          <w:rFonts w:hint="eastAsia" w:ascii="微软雅黑" w:hAnsi="微软雅黑" w:eastAsia="微软雅黑" w:cs="微软雅黑"/>
          <w:b/>
          <w:bCs/>
          <w:color w:val="FF0000"/>
          <w:kern w:val="0"/>
          <w:sz w:val="21"/>
          <w:szCs w:val="21"/>
          <w:highlight w:val="yellow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1"/>
          <w:szCs w:val="21"/>
        </w:rPr>
        <w:t>有意向之服务商，可至统一企业慧采平台首页（https://huicai.pec.com.cn）进行报名，网址建议使用谷歌浏览器，</w:t>
      </w:r>
      <w:r>
        <w:rPr>
          <w:rFonts w:hint="eastAsia" w:ascii="微软雅黑" w:hAnsi="微软雅黑" w:eastAsia="微软雅黑" w:cs="微软雅黑"/>
          <w:b/>
          <w:bCs/>
          <w:color w:val="FF0000"/>
          <w:kern w:val="0"/>
          <w:sz w:val="21"/>
          <w:szCs w:val="21"/>
          <w:highlight w:val="yellow"/>
        </w:rPr>
        <w:t>报名表要求的报名材料请务必在慧采系统全部上传，具体报名操作详见操作手册。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A、联系人：管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/>
        </w:rPr>
        <w:t>女士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B、电话：021-22158357 / 021-22158483（在线时间：工作日 8:00-17:00）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C、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/>
        </w:rPr>
        <w:t>邮箱：guanming@pec.com.cn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/>
        </w:rPr>
        <w:t>D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、报名时间：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highlight w:val="yellow"/>
        </w:rPr>
        <w:t>202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highlight w:val="yellow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highlight w:val="yellow"/>
          <w:lang w:val="en-US" w:eastAsia="zh-CN"/>
        </w:rPr>
        <w:t>9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highlight w:val="yellow"/>
          <w:lang w:val="en-US" w:eastAsia="zh-CN"/>
        </w:rPr>
        <w:t>24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highlight w:val="yellow"/>
        </w:rPr>
        <w:t>日08时至202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highlight w:val="yellow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highlight w:val="yellow"/>
          <w:lang w:val="en-US" w:eastAsia="zh-CN"/>
        </w:rPr>
        <w:t>9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highlight w:val="yellow"/>
          <w:lang w:val="en-US" w:eastAsia="zh-CN"/>
        </w:rPr>
        <w:t>30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highlight w:val="yellow"/>
        </w:rPr>
        <w:t>日17时止；</w:t>
      </w:r>
    </w:p>
    <w:p>
      <w:pPr>
        <w:widowControl/>
        <w:jc w:val="left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4、报名须知：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A、资质初审合格后，将统一安排参加招投标工作。</w:t>
      </w:r>
      <w:bookmarkStart w:id="0" w:name="_GoBack"/>
      <w:bookmarkEnd w:id="0"/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B、若投标公司所提供资料有作假情况，一律列入统一集团</w:t>
      </w: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1"/>
          <w:szCs w:val="21"/>
          <w:u w:val="single"/>
        </w:rPr>
        <w:t>不合作客户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中。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C、响应高效、绿色办公理念，可以配合我司推行E签宝电子合同签订工作。</w:t>
      </w:r>
    </w:p>
    <w:p>
      <w:pPr>
        <w:jc w:val="left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5、反腐直通车：</w:t>
      </w:r>
    </w:p>
    <w:p>
      <w:pPr>
        <w:widowControl/>
        <w:shd w:val="clear" w:color="auto" w:fill="FFFFFF"/>
        <w:ind w:left="849" w:leftChars="200" w:hanging="429"/>
        <w:jc w:val="left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A、为拓宽服务商沟通、监督的渠道，及时制止、查处违纪违法行为，本公司</w:t>
      </w: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1"/>
          <w:szCs w:val="21"/>
          <w:u w:val="single"/>
        </w:rPr>
        <w:t>审计管理部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特设置反贪腐直通车，欢迎监督，如实举报。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微软雅黑"/>
          <w:b/>
          <w:color w:val="000000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B、</w:t>
      </w: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1"/>
          <w:szCs w:val="21"/>
          <w:u w:val="single"/>
        </w:rPr>
        <w:t>审计管理部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投诉（反贪腐直通车）：邮箱（fanfu@pec.com.cn）、电话 （18221429653）</w:t>
      </w:r>
      <w:r>
        <w:rPr>
          <w:rFonts w:hint="eastAsia" w:ascii="微软雅黑" w:hAnsi="微软雅黑" w:eastAsia="微软雅黑" w:cs="微软雅黑"/>
          <w:b/>
          <w:color w:val="000000"/>
          <w:kern w:val="0"/>
          <w:sz w:val="21"/>
          <w:szCs w:val="21"/>
        </w:rPr>
        <w:t>。</w:t>
      </w:r>
    </w:p>
    <w:p>
      <w:pPr>
        <w:spacing w:line="360" w:lineRule="exact"/>
        <w:ind w:left="531" w:leftChars="136" w:hanging="245" w:hangingChars="117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720" w:right="720" w:bottom="720" w:left="720" w:header="624" w:footer="675" w:gutter="0"/>
          <w:cols w:space="425" w:num="1"/>
          <w:docGrid w:type="lines" w:linePitch="418" w:charSpace="0"/>
        </w:sectPr>
      </w:pPr>
    </w:p>
    <w:p>
      <w:pPr>
        <w:jc w:val="center"/>
        <w:rPr>
          <w:rFonts w:hint="eastAsia" w:ascii="宋体" w:hAnsi="宋体"/>
          <w:b/>
          <w:bCs/>
          <w:sz w:val="32"/>
          <w:szCs w:val="24"/>
        </w:rPr>
      </w:pPr>
      <w:r>
        <w:rPr>
          <w:rFonts w:hint="eastAsia" w:ascii="宋体" w:hAnsi="宋体"/>
          <w:b/>
          <w:bCs/>
          <w:sz w:val="32"/>
          <w:szCs w:val="24"/>
        </w:rPr>
        <w:t xml:space="preserve">服务商 报名表 </w:t>
      </w:r>
    </w:p>
    <w:p>
      <w:pPr>
        <w:wordWrap w:val="0"/>
        <w:jc w:val="right"/>
        <w:rPr>
          <w:rFonts w:hint="eastAsia" w:eastAsia="宋体"/>
          <w:b/>
          <w:sz w:val="28"/>
          <w:szCs w:val="28"/>
          <w:u w:val="single"/>
          <w:lang w:val="en-US" w:eastAsia="zh-CN"/>
        </w:rPr>
      </w:pPr>
      <w:r>
        <w:rPr>
          <w:rFonts w:hint="eastAsia" w:ascii="宋体" w:hAnsi="宋体"/>
          <w:bCs/>
          <w:sz w:val="20"/>
          <w:szCs w:val="24"/>
        </w:rPr>
        <w:t>引进项目：</w:t>
      </w:r>
      <w:r>
        <w:rPr>
          <w:rFonts w:hint="eastAsia" w:ascii="宋体" w:hAnsi="宋体"/>
          <w:bCs/>
          <w:sz w:val="20"/>
          <w:szCs w:val="24"/>
          <w:u w:val="single"/>
        </w:rPr>
        <w:t>武汉统一2024-2025年度</w:t>
      </w:r>
      <w:r>
        <w:rPr>
          <w:rFonts w:hint="eastAsia" w:ascii="宋体" w:hAnsi="宋体" w:cs="Arial"/>
          <w:bCs/>
          <w:color w:val="000000"/>
          <w:kern w:val="0"/>
          <w:sz w:val="20"/>
          <w:u w:val="single"/>
        </w:rPr>
        <w:t>一般下脚品外卖</w:t>
      </w:r>
      <w:r>
        <w:rPr>
          <w:rFonts w:hint="eastAsia" w:ascii="宋体" w:hAnsi="宋体"/>
          <w:bCs/>
          <w:sz w:val="20"/>
          <w:szCs w:val="24"/>
          <w:u w:val="single"/>
        </w:rPr>
        <w:t>服务</w:t>
      </w:r>
      <w:r>
        <w:rPr>
          <w:rFonts w:hint="eastAsia" w:ascii="宋体" w:hAnsi="宋体"/>
          <w:bCs/>
          <w:sz w:val="20"/>
          <w:szCs w:val="24"/>
          <w:u w:val="single"/>
          <w:lang w:val="en-US" w:eastAsia="zh-CN"/>
        </w:rPr>
        <w:t>项目</w:t>
      </w:r>
    </w:p>
    <w:tbl>
      <w:tblPr>
        <w:tblStyle w:val="1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425"/>
        <w:gridCol w:w="80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8" w:hRule="atLeast"/>
        </w:trPr>
        <w:tc>
          <w:tcPr>
            <w:tcW w:w="10591" w:type="dxa"/>
            <w:gridSpan w:val="4"/>
            <w:shd w:val="clear" w:color="auto" w:fill="D8D8D8" w:themeFill="background1" w:themeFillShade="D9"/>
            <w:vAlign w:val="center"/>
          </w:tcPr>
          <w:p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rFonts w:hint="eastAsia" w:eastAsia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法定代表人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2" w:hRule="atLeast"/>
        </w:trPr>
        <w:tc>
          <w:tcPr>
            <w:tcW w:w="10591" w:type="dxa"/>
            <w:gridSpan w:val="4"/>
            <w:tcBorders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4、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法定代表人</w:t>
            </w:r>
            <w:r>
              <w:rPr>
                <w:bCs/>
                <w:sz w:val="18"/>
                <w:szCs w:val="18"/>
              </w:rPr>
              <w:t>身份证复印件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法定代表人</w:t>
            </w:r>
            <w:r>
              <w:rPr>
                <w:bCs/>
                <w:sz w:val="18"/>
                <w:szCs w:val="18"/>
              </w:rPr>
              <w:t>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法定代表人</w:t>
            </w:r>
            <w:r>
              <w:rPr>
                <w:bCs/>
                <w:sz w:val="18"/>
                <w:szCs w:val="18"/>
              </w:rPr>
              <w:t>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法定代表人</w:t>
            </w:r>
            <w:r>
              <w:rPr>
                <w:bCs/>
                <w:sz w:val="18"/>
                <w:szCs w:val="18"/>
              </w:rPr>
              <w:t>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91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 * 项目为必填项。</w:t>
      </w: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rPr>
          <w:sz w:val="36"/>
          <w:szCs w:val="36"/>
        </w:rPr>
      </w:pPr>
    </w:p>
    <w:p>
      <w:pPr>
        <w:autoSpaceDE w:val="0"/>
        <w:autoSpaceDN w:val="0"/>
        <w:jc w:val="center"/>
        <w:rPr>
          <w:rFonts w:hint="eastAsia"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>
      <w:pPr>
        <w:rPr>
          <w:sz w:val="28"/>
        </w:rPr>
      </w:pPr>
      <w:r>
        <w:rPr>
          <w:rFonts w:hint="eastAsia"/>
          <w:sz w:val="28"/>
        </w:rPr>
        <w:t>授权公司：</w:t>
      </w:r>
    </w:p>
    <w:p>
      <w:pPr>
        <w:rPr>
          <w:sz w:val="28"/>
        </w:rPr>
      </w:pPr>
      <w:r>
        <w:rPr>
          <w:rFonts w:hint="eastAsia"/>
          <w:sz w:val="28"/>
        </w:rPr>
        <w:t>法定代表人：                 身份证号：</w:t>
      </w:r>
    </w:p>
    <w:p>
      <w:pPr>
        <w:rPr>
          <w:sz w:val="28"/>
        </w:rPr>
      </w:pPr>
      <w:r>
        <w:rPr>
          <w:rFonts w:hint="eastAsia"/>
          <w:sz w:val="28"/>
        </w:rPr>
        <w:t>单位地址：</w:t>
      </w:r>
    </w:p>
    <w:p>
      <w:pPr>
        <w:rPr>
          <w:b/>
          <w:sz w:val="28"/>
        </w:rPr>
      </w:pPr>
      <w:r>
        <w:rPr>
          <w:rFonts w:hint="eastAsia"/>
          <w:b/>
          <w:sz w:val="28"/>
          <w:lang w:eastAsia="zh-CN"/>
        </w:rPr>
        <w:t>法定代表人</w:t>
      </w:r>
      <w:r>
        <w:rPr>
          <w:rFonts w:hint="eastAsia"/>
          <w:b/>
          <w:sz w:val="28"/>
        </w:rPr>
        <w:t>手机号码：</w:t>
      </w:r>
    </w:p>
    <w:p>
      <w:pPr>
        <w:rPr>
          <w:sz w:val="28"/>
        </w:rPr>
      </w:pPr>
      <w:r>
        <w:rPr>
          <w:rFonts w:hint="eastAsia"/>
          <w:sz w:val="28"/>
        </w:rPr>
        <w:t>受托人：                     身份证号码：</w:t>
      </w:r>
    </w:p>
    <w:p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单位及职务：</w:t>
      </w:r>
    </w:p>
    <w:p>
      <w:pPr>
        <w:rPr>
          <w:sz w:val="28"/>
        </w:rPr>
      </w:pPr>
      <w:r>
        <w:rPr>
          <w:rFonts w:hint="eastAsia"/>
          <w:sz w:val="28"/>
        </w:rPr>
        <w:t xml:space="preserve">住址：                       </w:t>
      </w:r>
      <w:r>
        <w:rPr>
          <w:rFonts w:hint="eastAsia"/>
          <w:b/>
          <w:sz w:val="28"/>
        </w:rPr>
        <w:t>邮箱：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>
      <w:pPr>
        <w:spacing w:line="600" w:lineRule="exact"/>
        <w:rPr>
          <w:sz w:val="28"/>
        </w:rPr>
      </w:pPr>
      <w:r>
        <w:rPr>
          <w:rFonts w:hint="eastAsia"/>
          <w:sz w:val="28"/>
        </w:rPr>
        <w:t xml:space="preserve">授权受托人代为参加 </w:t>
      </w:r>
      <w:r>
        <w:rPr>
          <w:rFonts w:hint="eastAsia" w:ascii="宋体" w:hAnsi="宋体"/>
          <w:b/>
          <w:bCs/>
          <w:sz w:val="28"/>
          <w:szCs w:val="28"/>
          <w:u w:val="single"/>
        </w:rPr>
        <w:t>武汉统一企业食品有限公司2024-2025</w:t>
      </w:r>
      <w:r>
        <w:rPr>
          <w:rFonts w:hint="eastAsia" w:ascii="宋体" w:hAnsi="宋体" w:cs="Arial"/>
          <w:b/>
          <w:bCs/>
          <w:color w:val="000000"/>
          <w:kern w:val="0"/>
          <w:sz w:val="28"/>
          <w:szCs w:val="28"/>
          <w:u w:val="single"/>
        </w:rPr>
        <w:t>年度一般下脚品外卖</w:t>
      </w:r>
      <w:r>
        <w:rPr>
          <w:rFonts w:hint="eastAsia" w:ascii="宋体" w:hAnsi="宋体"/>
          <w:b/>
          <w:bCs/>
          <w:sz w:val="28"/>
          <w:szCs w:val="28"/>
          <w:u w:val="single"/>
        </w:rPr>
        <w:t>服务项</w:t>
      </w:r>
      <w:r>
        <w:rPr>
          <w:rFonts w:hint="eastAsia"/>
          <w:b/>
          <w:bCs/>
          <w:sz w:val="28"/>
          <w:u w:val="single"/>
        </w:rPr>
        <w:t>目</w:t>
      </w:r>
      <w:r>
        <w:rPr>
          <w:rFonts w:hint="eastAsia"/>
          <w:sz w:val="28"/>
        </w:rPr>
        <w:t xml:space="preserve"> 投标活动。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</w:t>
      </w:r>
      <w:r>
        <w:rPr>
          <w:rFonts w:hint="eastAsia"/>
          <w:sz w:val="28"/>
          <w:lang w:val="en-US" w:eastAsia="zh-CN"/>
        </w:rPr>
        <w:t>授权公司</w:t>
      </w:r>
      <w:r>
        <w:rPr>
          <w:rFonts w:hint="eastAsia"/>
          <w:sz w:val="28"/>
        </w:rPr>
        <w:t>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  <w:u w:val="single"/>
          <w:lang w:val="en-US" w:eastAsia="zh-CN"/>
        </w:rPr>
        <w:t>武汉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</w:rPr>
        <w:t>统一企业有限公司项目招标活动结束时止，如中标至与招标人签订项目合同执行完毕为止。</w:t>
      </w:r>
    </w:p>
    <w:p>
      <w:pPr>
        <w:ind w:firstLine="570"/>
        <w:rPr>
          <w:sz w:val="28"/>
        </w:rPr>
      </w:pPr>
    </w:p>
    <w:p>
      <w:pPr>
        <w:ind w:firstLine="570"/>
        <w:rPr>
          <w:sz w:val="28"/>
        </w:rPr>
      </w:pPr>
    </w:p>
    <w:p>
      <w:pPr>
        <w:wordWrap w:val="0"/>
        <w:ind w:right="1120" w:firstLine="4250" w:firstLineChars="1518"/>
        <w:rPr>
          <w:sz w:val="28"/>
        </w:rPr>
      </w:pPr>
      <w:r>
        <w:rPr>
          <w:rFonts w:hint="eastAsia"/>
          <w:sz w:val="28"/>
        </w:rPr>
        <w:t>授权公司（盖公章）：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签署日期：      年   月   日</w:t>
      </w:r>
    </w:p>
    <w:p>
      <w:pPr>
        <w:jc w:val="center"/>
        <w:rPr>
          <w:rFonts w:hint="eastAsia" w:ascii="微软雅黑" w:hAnsi="微软雅黑" w:eastAsia="微软雅黑"/>
          <w:sz w:val="24"/>
          <w:szCs w:val="24"/>
        </w:rPr>
      </w:pPr>
    </w:p>
    <w:sectPr>
      <w:headerReference r:id="rId6" w:type="default"/>
      <w:footerReference r:id="rId7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PMingLiU">
    <w:altName w:val="宋体-繁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0"/>
      </w:pBdr>
      <w:tabs>
        <w:tab w:val="center" w:pos="4725"/>
        <w:tab w:val="clear" w:pos="4153"/>
        <w:tab w:val="clear" w:pos="8306"/>
      </w:tabs>
      <w:ind w:left="-181" w:right="-193" w:firstLine="1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right" w:pos="5145"/>
        <w:tab w:val="clear" w:pos="4153"/>
        <w:tab w:val="clear" w:pos="8306"/>
      </w:tabs>
      <w:ind w:hanging="21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4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5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right"/>
      <w:rPr>
        <w:sz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5"/>
  <w:autoHyphenation/>
  <w:drawingGridHorizontalSpacing w:val="105"/>
  <w:drawingGridVerticalSpacing w:val="209"/>
  <w:noPunctuationKerning w:val="1"/>
  <w:characterSpacingControl w:val="compressPunctuation"/>
  <w:compat>
    <w:spaceForUL/>
    <w:balanceSingleByteDoubleByteWidth/>
    <w:doNotLeaveBackslashAlone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GEyNjRiOGVjNGQ4OGM0YzEzYzQ1MWZkNTM4MWNiNmEifQ=="/>
  </w:docVars>
  <w:rsids>
    <w:rsidRoot w:val="001D742D"/>
    <w:rsid w:val="00002669"/>
    <w:rsid w:val="00002796"/>
    <w:rsid w:val="00004843"/>
    <w:rsid w:val="00006AB0"/>
    <w:rsid w:val="0000772A"/>
    <w:rsid w:val="00010458"/>
    <w:rsid w:val="00011E02"/>
    <w:rsid w:val="000122B4"/>
    <w:rsid w:val="000127E6"/>
    <w:rsid w:val="00014B24"/>
    <w:rsid w:val="000209C0"/>
    <w:rsid w:val="00021910"/>
    <w:rsid w:val="0002776A"/>
    <w:rsid w:val="00030AA8"/>
    <w:rsid w:val="00030B76"/>
    <w:rsid w:val="00033555"/>
    <w:rsid w:val="00033E9D"/>
    <w:rsid w:val="00033FB1"/>
    <w:rsid w:val="000407E8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0D97"/>
    <w:rsid w:val="000B5B60"/>
    <w:rsid w:val="000B5C21"/>
    <w:rsid w:val="000B73DD"/>
    <w:rsid w:val="000B756D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1EB8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20DCE"/>
    <w:rsid w:val="00120EA5"/>
    <w:rsid w:val="001211E1"/>
    <w:rsid w:val="00122579"/>
    <w:rsid w:val="001243CC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3BAF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2968"/>
    <w:rsid w:val="001A45BF"/>
    <w:rsid w:val="001A5143"/>
    <w:rsid w:val="001A53F1"/>
    <w:rsid w:val="001A54BC"/>
    <w:rsid w:val="001A64DA"/>
    <w:rsid w:val="001C0DE2"/>
    <w:rsid w:val="001C0FCD"/>
    <w:rsid w:val="001C1EC2"/>
    <w:rsid w:val="001C654D"/>
    <w:rsid w:val="001D2CFE"/>
    <w:rsid w:val="001D3D9D"/>
    <w:rsid w:val="001D51C5"/>
    <w:rsid w:val="001D742D"/>
    <w:rsid w:val="001E07F6"/>
    <w:rsid w:val="001E3321"/>
    <w:rsid w:val="001E5111"/>
    <w:rsid w:val="001F370E"/>
    <w:rsid w:val="00201D5B"/>
    <w:rsid w:val="0020454D"/>
    <w:rsid w:val="00205796"/>
    <w:rsid w:val="002156C2"/>
    <w:rsid w:val="002160C8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40F8"/>
    <w:rsid w:val="002C0A12"/>
    <w:rsid w:val="002C1874"/>
    <w:rsid w:val="002C66D9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54F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1933"/>
    <w:rsid w:val="00331B6D"/>
    <w:rsid w:val="00332B2F"/>
    <w:rsid w:val="003411F6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3FA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47EE"/>
    <w:rsid w:val="00416262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8696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0F20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0316"/>
    <w:rsid w:val="00522AC5"/>
    <w:rsid w:val="005231EE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3003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C78FC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2FCF"/>
    <w:rsid w:val="0061339C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466A3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8407B"/>
    <w:rsid w:val="006901B7"/>
    <w:rsid w:val="00691F16"/>
    <w:rsid w:val="00692125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0FCF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2AA7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23D7"/>
    <w:rsid w:val="007A2C04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16799"/>
    <w:rsid w:val="00826E93"/>
    <w:rsid w:val="0082721F"/>
    <w:rsid w:val="00827E91"/>
    <w:rsid w:val="0083065A"/>
    <w:rsid w:val="0083395D"/>
    <w:rsid w:val="00836A68"/>
    <w:rsid w:val="008416E9"/>
    <w:rsid w:val="00843248"/>
    <w:rsid w:val="00845543"/>
    <w:rsid w:val="008501BD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281A"/>
    <w:rsid w:val="008A29E4"/>
    <w:rsid w:val="008A37EE"/>
    <w:rsid w:val="008A3DB9"/>
    <w:rsid w:val="008A6F70"/>
    <w:rsid w:val="008B358A"/>
    <w:rsid w:val="008B61C3"/>
    <w:rsid w:val="008B7BA4"/>
    <w:rsid w:val="008B7E19"/>
    <w:rsid w:val="008C01B5"/>
    <w:rsid w:val="008C099F"/>
    <w:rsid w:val="008C3E02"/>
    <w:rsid w:val="008C7092"/>
    <w:rsid w:val="008D2FC2"/>
    <w:rsid w:val="008D5B62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36B31"/>
    <w:rsid w:val="009379F3"/>
    <w:rsid w:val="00942F3D"/>
    <w:rsid w:val="00943970"/>
    <w:rsid w:val="00945FA5"/>
    <w:rsid w:val="0096199A"/>
    <w:rsid w:val="009630D5"/>
    <w:rsid w:val="00963D9C"/>
    <w:rsid w:val="00964149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57A5"/>
    <w:rsid w:val="009A776F"/>
    <w:rsid w:val="009B05D4"/>
    <w:rsid w:val="009B1F18"/>
    <w:rsid w:val="009B2AC6"/>
    <w:rsid w:val="009C1435"/>
    <w:rsid w:val="009C4C2B"/>
    <w:rsid w:val="009C7322"/>
    <w:rsid w:val="009D0A27"/>
    <w:rsid w:val="009D1D20"/>
    <w:rsid w:val="009D3D0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2CB6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7E17"/>
    <w:rsid w:val="00AB2551"/>
    <w:rsid w:val="00AB739C"/>
    <w:rsid w:val="00AB7D2D"/>
    <w:rsid w:val="00AB7F54"/>
    <w:rsid w:val="00AC2C25"/>
    <w:rsid w:val="00AC5F60"/>
    <w:rsid w:val="00AC7424"/>
    <w:rsid w:val="00AD2ED8"/>
    <w:rsid w:val="00AD3A28"/>
    <w:rsid w:val="00AD3B53"/>
    <w:rsid w:val="00AD455B"/>
    <w:rsid w:val="00AD5D29"/>
    <w:rsid w:val="00AD6FE3"/>
    <w:rsid w:val="00AD7DD6"/>
    <w:rsid w:val="00AD7E9E"/>
    <w:rsid w:val="00AE1330"/>
    <w:rsid w:val="00AE2F34"/>
    <w:rsid w:val="00AF171C"/>
    <w:rsid w:val="00AF3603"/>
    <w:rsid w:val="00AF5803"/>
    <w:rsid w:val="00B02863"/>
    <w:rsid w:val="00B02F0A"/>
    <w:rsid w:val="00B03393"/>
    <w:rsid w:val="00B03BA1"/>
    <w:rsid w:val="00B040B9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5D17"/>
    <w:rsid w:val="00B262CC"/>
    <w:rsid w:val="00B264F6"/>
    <w:rsid w:val="00B307D7"/>
    <w:rsid w:val="00B31491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AD5"/>
    <w:rsid w:val="00CF0796"/>
    <w:rsid w:val="00CF3F92"/>
    <w:rsid w:val="00CF55E8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29E7"/>
    <w:rsid w:val="00D43090"/>
    <w:rsid w:val="00D522CA"/>
    <w:rsid w:val="00D6625B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140B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203"/>
    <w:rsid w:val="00DC4211"/>
    <w:rsid w:val="00DC4C62"/>
    <w:rsid w:val="00DC6C79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4341"/>
    <w:rsid w:val="00E65626"/>
    <w:rsid w:val="00E6763D"/>
    <w:rsid w:val="00E7192D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E5A29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0C4C"/>
    <w:rsid w:val="00F422FA"/>
    <w:rsid w:val="00F424C4"/>
    <w:rsid w:val="00F42667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87E16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20C3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01E21263"/>
    <w:rsid w:val="02D46715"/>
    <w:rsid w:val="03DE01E2"/>
    <w:rsid w:val="04B93670"/>
    <w:rsid w:val="04D336D9"/>
    <w:rsid w:val="04DD3F64"/>
    <w:rsid w:val="05711EC1"/>
    <w:rsid w:val="061C3E79"/>
    <w:rsid w:val="061E58BA"/>
    <w:rsid w:val="06DC5B1D"/>
    <w:rsid w:val="06FA0DFD"/>
    <w:rsid w:val="07FC72B9"/>
    <w:rsid w:val="08513A4A"/>
    <w:rsid w:val="086D6BEF"/>
    <w:rsid w:val="08874912"/>
    <w:rsid w:val="0A945424"/>
    <w:rsid w:val="0B625F6A"/>
    <w:rsid w:val="0B736193"/>
    <w:rsid w:val="0B843AB7"/>
    <w:rsid w:val="0CC127BB"/>
    <w:rsid w:val="0D20451A"/>
    <w:rsid w:val="0D316148"/>
    <w:rsid w:val="0DBC42C3"/>
    <w:rsid w:val="0E217FB2"/>
    <w:rsid w:val="0E555699"/>
    <w:rsid w:val="0ED85EC8"/>
    <w:rsid w:val="0F7709E5"/>
    <w:rsid w:val="0FA04990"/>
    <w:rsid w:val="101536F3"/>
    <w:rsid w:val="102820F4"/>
    <w:rsid w:val="10A804E5"/>
    <w:rsid w:val="112F7522"/>
    <w:rsid w:val="11980B4F"/>
    <w:rsid w:val="11991213"/>
    <w:rsid w:val="12160A2F"/>
    <w:rsid w:val="13136FDD"/>
    <w:rsid w:val="14E53E41"/>
    <w:rsid w:val="15CE3B81"/>
    <w:rsid w:val="169D3553"/>
    <w:rsid w:val="17004C46"/>
    <w:rsid w:val="17051824"/>
    <w:rsid w:val="172D4E30"/>
    <w:rsid w:val="17470DF6"/>
    <w:rsid w:val="179E3A27"/>
    <w:rsid w:val="17CD1859"/>
    <w:rsid w:val="180D58CF"/>
    <w:rsid w:val="18261D63"/>
    <w:rsid w:val="18356139"/>
    <w:rsid w:val="18B62A1D"/>
    <w:rsid w:val="18E73E31"/>
    <w:rsid w:val="19202945"/>
    <w:rsid w:val="19457520"/>
    <w:rsid w:val="19BB5F91"/>
    <w:rsid w:val="19E00326"/>
    <w:rsid w:val="1A4B2916"/>
    <w:rsid w:val="1A551D6C"/>
    <w:rsid w:val="1A930BAF"/>
    <w:rsid w:val="1A9F5A1B"/>
    <w:rsid w:val="1AA54A2D"/>
    <w:rsid w:val="1AC647A5"/>
    <w:rsid w:val="1B687D45"/>
    <w:rsid w:val="1B6D7998"/>
    <w:rsid w:val="1C210E57"/>
    <w:rsid w:val="1C6D2E65"/>
    <w:rsid w:val="1CA7734E"/>
    <w:rsid w:val="1CEB6DC6"/>
    <w:rsid w:val="1D933B71"/>
    <w:rsid w:val="1E185B20"/>
    <w:rsid w:val="1E672DC4"/>
    <w:rsid w:val="1F37751E"/>
    <w:rsid w:val="1F5B71FD"/>
    <w:rsid w:val="201523AC"/>
    <w:rsid w:val="20517888"/>
    <w:rsid w:val="20EA0FB8"/>
    <w:rsid w:val="210B525D"/>
    <w:rsid w:val="213344AE"/>
    <w:rsid w:val="21E44BBE"/>
    <w:rsid w:val="221E7C3E"/>
    <w:rsid w:val="223D013C"/>
    <w:rsid w:val="22B365D8"/>
    <w:rsid w:val="22F377CF"/>
    <w:rsid w:val="240124B4"/>
    <w:rsid w:val="25504BC4"/>
    <w:rsid w:val="257F4191"/>
    <w:rsid w:val="268D5392"/>
    <w:rsid w:val="26D05939"/>
    <w:rsid w:val="27DF39CB"/>
    <w:rsid w:val="287A4A84"/>
    <w:rsid w:val="290B200E"/>
    <w:rsid w:val="2A130A0F"/>
    <w:rsid w:val="2A2A6795"/>
    <w:rsid w:val="2A573CED"/>
    <w:rsid w:val="2A5A558B"/>
    <w:rsid w:val="2A8A4F0C"/>
    <w:rsid w:val="2A8B74C9"/>
    <w:rsid w:val="2AD37AD3"/>
    <w:rsid w:val="2BAA42F0"/>
    <w:rsid w:val="2BFA2879"/>
    <w:rsid w:val="2C376CF6"/>
    <w:rsid w:val="2CD07D87"/>
    <w:rsid w:val="2D1A6744"/>
    <w:rsid w:val="2D6A304B"/>
    <w:rsid w:val="2D9B0395"/>
    <w:rsid w:val="2DD0385F"/>
    <w:rsid w:val="2DFB52D7"/>
    <w:rsid w:val="2E0A72C8"/>
    <w:rsid w:val="2E9A064C"/>
    <w:rsid w:val="303A20E7"/>
    <w:rsid w:val="30D51E0F"/>
    <w:rsid w:val="30E97669"/>
    <w:rsid w:val="31576006"/>
    <w:rsid w:val="31702961"/>
    <w:rsid w:val="31743CF3"/>
    <w:rsid w:val="319F93FE"/>
    <w:rsid w:val="322F72FD"/>
    <w:rsid w:val="32754488"/>
    <w:rsid w:val="33525999"/>
    <w:rsid w:val="337C44DF"/>
    <w:rsid w:val="33A06705"/>
    <w:rsid w:val="342D123C"/>
    <w:rsid w:val="345B3646"/>
    <w:rsid w:val="34DE2E7C"/>
    <w:rsid w:val="34E17995"/>
    <w:rsid w:val="34FA4C23"/>
    <w:rsid w:val="3589141A"/>
    <w:rsid w:val="362359AF"/>
    <w:rsid w:val="3661275E"/>
    <w:rsid w:val="37035E0D"/>
    <w:rsid w:val="372E2279"/>
    <w:rsid w:val="37A91900"/>
    <w:rsid w:val="37E72E3C"/>
    <w:rsid w:val="37F963E3"/>
    <w:rsid w:val="385B21E4"/>
    <w:rsid w:val="38C1645B"/>
    <w:rsid w:val="38D176AE"/>
    <w:rsid w:val="38F75F91"/>
    <w:rsid w:val="39755F3E"/>
    <w:rsid w:val="397F23B5"/>
    <w:rsid w:val="399D03A2"/>
    <w:rsid w:val="39C3314D"/>
    <w:rsid w:val="3A080B60"/>
    <w:rsid w:val="3B0D76FD"/>
    <w:rsid w:val="3B227670"/>
    <w:rsid w:val="3B245E6D"/>
    <w:rsid w:val="3B9318B5"/>
    <w:rsid w:val="3C196881"/>
    <w:rsid w:val="3C4D097B"/>
    <w:rsid w:val="3D232155"/>
    <w:rsid w:val="3DFA4C63"/>
    <w:rsid w:val="3F2E079E"/>
    <w:rsid w:val="408B7C66"/>
    <w:rsid w:val="40CC2C2D"/>
    <w:rsid w:val="40DB3690"/>
    <w:rsid w:val="41740556"/>
    <w:rsid w:val="419344F0"/>
    <w:rsid w:val="421F113C"/>
    <w:rsid w:val="42642860"/>
    <w:rsid w:val="42645787"/>
    <w:rsid w:val="42CC2D8B"/>
    <w:rsid w:val="42E61C5A"/>
    <w:rsid w:val="42F85DEF"/>
    <w:rsid w:val="430B0F42"/>
    <w:rsid w:val="438625B0"/>
    <w:rsid w:val="439F606E"/>
    <w:rsid w:val="43BD6E5F"/>
    <w:rsid w:val="444E121C"/>
    <w:rsid w:val="46115240"/>
    <w:rsid w:val="483F1017"/>
    <w:rsid w:val="49BD1C5F"/>
    <w:rsid w:val="4A0A6542"/>
    <w:rsid w:val="4A484FA8"/>
    <w:rsid w:val="4B1728EB"/>
    <w:rsid w:val="4B6D7D8D"/>
    <w:rsid w:val="4CA20D9F"/>
    <w:rsid w:val="4CBF59F6"/>
    <w:rsid w:val="4D5478F4"/>
    <w:rsid w:val="4D5501CE"/>
    <w:rsid w:val="4D6B7736"/>
    <w:rsid w:val="4D7F25FA"/>
    <w:rsid w:val="4EE65747"/>
    <w:rsid w:val="4FF3033A"/>
    <w:rsid w:val="50081462"/>
    <w:rsid w:val="50285660"/>
    <w:rsid w:val="505265C6"/>
    <w:rsid w:val="507D43F5"/>
    <w:rsid w:val="5092728F"/>
    <w:rsid w:val="511E6391"/>
    <w:rsid w:val="514E10F6"/>
    <w:rsid w:val="5168105A"/>
    <w:rsid w:val="53425033"/>
    <w:rsid w:val="5358625C"/>
    <w:rsid w:val="539B25ED"/>
    <w:rsid w:val="53C9715A"/>
    <w:rsid w:val="54040192"/>
    <w:rsid w:val="557B6BE5"/>
    <w:rsid w:val="55853555"/>
    <w:rsid w:val="55A25EB5"/>
    <w:rsid w:val="55FB04F0"/>
    <w:rsid w:val="56244F35"/>
    <w:rsid w:val="56251C03"/>
    <w:rsid w:val="57141737"/>
    <w:rsid w:val="57494911"/>
    <w:rsid w:val="575ECF5E"/>
    <w:rsid w:val="58313520"/>
    <w:rsid w:val="585C1E4B"/>
    <w:rsid w:val="589C6BEB"/>
    <w:rsid w:val="58F83D9E"/>
    <w:rsid w:val="590F262A"/>
    <w:rsid w:val="592D40F6"/>
    <w:rsid w:val="593F084E"/>
    <w:rsid w:val="5A374938"/>
    <w:rsid w:val="5A403EEE"/>
    <w:rsid w:val="5AAB580B"/>
    <w:rsid w:val="5AF0321E"/>
    <w:rsid w:val="5B0D2022"/>
    <w:rsid w:val="5B2335F4"/>
    <w:rsid w:val="5B236543"/>
    <w:rsid w:val="5D245401"/>
    <w:rsid w:val="5E7A5F46"/>
    <w:rsid w:val="5F3A715E"/>
    <w:rsid w:val="5FB707AE"/>
    <w:rsid w:val="5FBC4489"/>
    <w:rsid w:val="5FDEACAC"/>
    <w:rsid w:val="6030471F"/>
    <w:rsid w:val="604C0EF7"/>
    <w:rsid w:val="609C14A7"/>
    <w:rsid w:val="60B756E1"/>
    <w:rsid w:val="60BB42CE"/>
    <w:rsid w:val="60CC0CCC"/>
    <w:rsid w:val="615A6614"/>
    <w:rsid w:val="629B6165"/>
    <w:rsid w:val="62C339BB"/>
    <w:rsid w:val="63DE27AE"/>
    <w:rsid w:val="642562B4"/>
    <w:rsid w:val="64870DB9"/>
    <w:rsid w:val="64A02B60"/>
    <w:rsid w:val="65165F77"/>
    <w:rsid w:val="65B80DDC"/>
    <w:rsid w:val="65BE674E"/>
    <w:rsid w:val="65EF514F"/>
    <w:rsid w:val="6747517D"/>
    <w:rsid w:val="67654F94"/>
    <w:rsid w:val="67C27CF0"/>
    <w:rsid w:val="67DD0FCE"/>
    <w:rsid w:val="67F73C7C"/>
    <w:rsid w:val="68752FB5"/>
    <w:rsid w:val="68EC771B"/>
    <w:rsid w:val="69006D22"/>
    <w:rsid w:val="69157CF5"/>
    <w:rsid w:val="69D361E5"/>
    <w:rsid w:val="69E5098F"/>
    <w:rsid w:val="6A067827"/>
    <w:rsid w:val="6A282D14"/>
    <w:rsid w:val="6A8E2B8C"/>
    <w:rsid w:val="6B234E64"/>
    <w:rsid w:val="6B2A0087"/>
    <w:rsid w:val="6B737C7F"/>
    <w:rsid w:val="6B857737"/>
    <w:rsid w:val="6BC4672D"/>
    <w:rsid w:val="6BF12823"/>
    <w:rsid w:val="6C82207F"/>
    <w:rsid w:val="6D367D11"/>
    <w:rsid w:val="6D4713C4"/>
    <w:rsid w:val="6D902343"/>
    <w:rsid w:val="6DEC3D19"/>
    <w:rsid w:val="6E391BA9"/>
    <w:rsid w:val="6E5750A7"/>
    <w:rsid w:val="6F0F587A"/>
    <w:rsid w:val="6FA0103F"/>
    <w:rsid w:val="6FAB5E69"/>
    <w:rsid w:val="6FCA3942"/>
    <w:rsid w:val="6FD77252"/>
    <w:rsid w:val="6FF304D4"/>
    <w:rsid w:val="713F0604"/>
    <w:rsid w:val="72B71497"/>
    <w:rsid w:val="73AA75ED"/>
    <w:rsid w:val="740047EE"/>
    <w:rsid w:val="74021003"/>
    <w:rsid w:val="741B0702"/>
    <w:rsid w:val="743836C2"/>
    <w:rsid w:val="744E2284"/>
    <w:rsid w:val="747B1953"/>
    <w:rsid w:val="74980757"/>
    <w:rsid w:val="74BE7A92"/>
    <w:rsid w:val="751A73BE"/>
    <w:rsid w:val="75DB4190"/>
    <w:rsid w:val="763D6F8C"/>
    <w:rsid w:val="770025E3"/>
    <w:rsid w:val="779C48D2"/>
    <w:rsid w:val="77D01FB6"/>
    <w:rsid w:val="77F2073C"/>
    <w:rsid w:val="79097131"/>
    <w:rsid w:val="791D6126"/>
    <w:rsid w:val="794744F9"/>
    <w:rsid w:val="7A38353F"/>
    <w:rsid w:val="7A396538"/>
    <w:rsid w:val="7ABF68BB"/>
    <w:rsid w:val="7B007AE2"/>
    <w:rsid w:val="7B1A466C"/>
    <w:rsid w:val="7B690523"/>
    <w:rsid w:val="7BDE6A66"/>
    <w:rsid w:val="7BE52F47"/>
    <w:rsid w:val="7CD51E1C"/>
    <w:rsid w:val="7D7529E3"/>
    <w:rsid w:val="7DF578BE"/>
    <w:rsid w:val="7E4932DF"/>
    <w:rsid w:val="7EB7D704"/>
    <w:rsid w:val="7EE476DF"/>
    <w:rsid w:val="7F2E7447"/>
    <w:rsid w:val="7FC78AC4"/>
    <w:rsid w:val="7FE20802"/>
    <w:rsid w:val="7FEB449A"/>
    <w:rsid w:val="7FFEB092"/>
    <w:rsid w:val="7FFF7ABA"/>
    <w:rsid w:val="B6F7F559"/>
    <w:rsid w:val="CBFEA8B8"/>
    <w:rsid w:val="F7DF414B"/>
    <w:rsid w:val="FAFFA2AB"/>
    <w:rsid w:val="FB9B0DEF"/>
    <w:rsid w:val="FC328A13"/>
    <w:rsid w:val="FDBDBE64"/>
    <w:rsid w:val="FDFF53CC"/>
    <w:rsid w:val="FE3C7638"/>
    <w:rsid w:val="FF7B4C70"/>
    <w:rsid w:val="FFFFB82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annotation text"/>
    <w:basedOn w:val="1"/>
    <w:link w:val="19"/>
    <w:semiHidden/>
    <w:unhideWhenUsed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ind w:firstLine="480" w:firstLineChars="200"/>
    </w:pPr>
    <w:rPr>
      <w:sz w:val="24"/>
      <w:szCs w:val="24"/>
    </w:rPr>
  </w:style>
  <w:style w:type="paragraph" w:styleId="5">
    <w:name w:val="Block Text"/>
    <w:basedOn w:val="1"/>
    <w:qFormat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6">
    <w:name w:val="Date"/>
    <w:basedOn w:val="1"/>
    <w:next w:val="1"/>
    <w:qFormat/>
    <w:uiPriority w:val="0"/>
    <w:pPr>
      <w:ind w:left="100" w:leftChars="2500"/>
    </w:pPr>
    <w:rPr>
      <w:sz w:val="24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paragraph" w:styleId="12">
    <w:name w:val="annotation subject"/>
    <w:basedOn w:val="3"/>
    <w:next w:val="3"/>
    <w:link w:val="20"/>
    <w:semiHidden/>
    <w:unhideWhenUsed/>
    <w:qFormat/>
    <w:uiPriority w:val="0"/>
    <w:rPr>
      <w:b/>
      <w:bCs/>
    </w:rPr>
  </w:style>
  <w:style w:type="character" w:styleId="15">
    <w:name w:val="page number"/>
    <w:basedOn w:val="14"/>
    <w:qFormat/>
    <w:uiPriority w:val="0"/>
  </w:style>
  <w:style w:type="character" w:styleId="16">
    <w:name w:val="Hyperlink"/>
    <w:basedOn w:val="14"/>
    <w:qFormat/>
    <w:uiPriority w:val="0"/>
    <w:rPr>
      <w:color w:val="333333"/>
      <w:u w:val="none"/>
    </w:rPr>
  </w:style>
  <w:style w:type="character" w:styleId="17">
    <w:name w:val="annotation reference"/>
    <w:basedOn w:val="14"/>
    <w:semiHidden/>
    <w:unhideWhenUsed/>
    <w:qFormat/>
    <w:uiPriority w:val="0"/>
    <w:rPr>
      <w:sz w:val="21"/>
      <w:szCs w:val="21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字符"/>
    <w:basedOn w:val="14"/>
    <w:link w:val="3"/>
    <w:semiHidden/>
    <w:qFormat/>
    <w:uiPriority w:val="0"/>
    <w:rPr>
      <w:kern w:val="2"/>
      <w:sz w:val="21"/>
    </w:rPr>
  </w:style>
  <w:style w:type="character" w:customStyle="1" w:styleId="20">
    <w:name w:val="批注主题 字符"/>
    <w:basedOn w:val="19"/>
    <w:link w:val="12"/>
    <w:semiHidden/>
    <w:qFormat/>
    <w:uiPriority w:val="0"/>
    <w:rPr>
      <w:b/>
      <w:bCs/>
      <w:kern w:val="2"/>
      <w:sz w:val="21"/>
    </w:rPr>
  </w:style>
  <w:style w:type="character" w:customStyle="1" w:styleId="21">
    <w:name w:val="awspan1"/>
    <w:basedOn w:val="14"/>
    <w:qFormat/>
    <w:uiPriority w:val="0"/>
    <w:rPr>
      <w:color w:val="000000"/>
      <w:sz w:val="24"/>
      <w:szCs w:val="24"/>
    </w:rPr>
  </w:style>
  <w:style w:type="character" w:customStyle="1" w:styleId="22">
    <w:name w:val="页脚 字符"/>
    <w:basedOn w:val="14"/>
    <w:link w:val="8"/>
    <w:qFormat/>
    <w:uiPriority w:val="99"/>
    <w:rPr>
      <w:kern w:val="2"/>
      <w:sz w:val="18"/>
    </w:rPr>
  </w:style>
  <w:style w:type="character" w:customStyle="1" w:styleId="23">
    <w:name w:val="font01"/>
    <w:basedOn w:val="14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4">
    <w:name w:val="font41"/>
    <w:basedOn w:val="14"/>
    <w:qFormat/>
    <w:uiPriority w:val="0"/>
    <w:rPr>
      <w:rFonts w:hint="eastAsia" w:ascii="宋体" w:hAnsi="宋体" w:eastAsia="宋体" w:cs="宋体"/>
      <w:color w:val="0000FF"/>
      <w:sz w:val="21"/>
      <w:szCs w:val="21"/>
      <w:u w:val="none"/>
    </w:rPr>
  </w:style>
  <w:style w:type="character" w:customStyle="1" w:styleId="25">
    <w:name w:val="font31"/>
    <w:basedOn w:val="14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6">
    <w:name w:val="font21"/>
    <w:basedOn w:val="14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7">
    <w:name w:val="font11"/>
    <w:basedOn w:val="14"/>
    <w:qFormat/>
    <w:uiPriority w:val="0"/>
    <w:rPr>
      <w:rFonts w:hint="eastAsia" w:ascii="宋体" w:hAnsi="宋体" w:eastAsia="宋体" w:cs="宋体"/>
      <w:color w:val="0000FF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Users/apple/Library/Containers/com.kingsoft.wpsoffice.mac/Data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Company>Kunshan Research Institute,PEC</Company>
  <Pages>5</Pages>
  <Words>515</Words>
  <Characters>2942</Characters>
  <Lines>24</Lines>
  <Paragraphs>6</Paragraphs>
  <TotalTime>6</TotalTime>
  <ScaleCrop>false</ScaleCrop>
  <LinksUpToDate>false</LinksUpToDate>
  <CharactersWithSpaces>3451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2021-01-25T13:42:00Z</dcterms:created>
  <dc:creator>grdpec</dc:creator>
  <cp:keywords>标准</cp:keywords>
  <cp:lastModifiedBy>管明明明</cp:lastModifiedBy>
  <cp:lastPrinted>2022-04-02T14:07:00Z</cp:lastPrinted>
  <dcterms:modified xsi:type="dcterms:W3CDTF">2024-09-20T11:03:10Z</dcterms:modified>
  <dc:subject>昆山研究所标准书模板</dc:subject>
  <dc:title>stdbook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3CD1C9EA145846D18067ECB346F2E1C9</vt:lpwstr>
  </property>
</Properties>
</file>