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firstLine="42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bookmarkStart w:id="0" w:name="OLE_LINK19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河南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统一企业</w:t>
      </w:r>
      <w:bookmarkStart w:id="1" w:name="OLE_LINK18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有限公</w:t>
      </w:r>
      <w:bookmarkEnd w:id="1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司针对</w:t>
      </w:r>
      <w:bookmarkEnd w:id="0"/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</w:rPr>
        <w:t>2024年废面外卖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服务项目招标，公开征集符合如下要求的服务商伙伴：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bookmarkStart w:id="2" w:name="OLE_LINK23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0" w:leftChars="20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bookmarkStart w:id="3" w:name="OLE_LINK1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合同</w:t>
      </w:r>
      <w:bookmarkStart w:id="4" w:name="OLE_LINK16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时间</w:t>
      </w:r>
      <w:bookmarkEnd w:id="3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：</w:t>
      </w:r>
      <w:bookmarkStart w:id="5" w:name="OLE_LINK17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日至20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日（以实际签订时间为准）</w:t>
      </w:r>
      <w:bookmarkEnd w:id="5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0" w:leftChars="20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</w:t>
      </w:r>
      <w:bookmarkStart w:id="6" w:name="OLE_LINK15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目</w:t>
      </w:r>
      <w:bookmarkEnd w:id="6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地点：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河南省漯河市河南统一企业有限公司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0" w:leftChars="200" w:firstLine="0" w:firstLineChars="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bookmarkStart w:id="7" w:name="OLE_LINK14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项目</w:t>
      </w:r>
      <w:bookmarkEnd w:id="4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说明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：</w:t>
      </w:r>
    </w:p>
    <w:bookmarkEnd w:id="7"/>
    <w:tbl>
      <w:tblPr>
        <w:tblStyle w:val="13"/>
        <w:tblW w:w="10098" w:type="dxa"/>
        <w:tblInd w:w="4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012"/>
        <w:gridCol w:w="78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83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8" w:name="OLE_LINK13" w:colFirst="2" w:colLast="2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干米面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元/吨</w:t>
            </w:r>
          </w:p>
        </w:tc>
        <w:tc>
          <w:tcPr>
            <w:tcW w:w="7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 w:bidi="ar"/>
              </w:rPr>
              <w:t>①</w:t>
            </w:r>
            <w:bookmarkStart w:id="9" w:name="OLE_LINK10"/>
            <w:r>
              <w:rPr>
                <w:rStyle w:val="2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 w:bidi="ar"/>
              </w:rPr>
              <w:t>方面便生产过程中产生的</w:t>
            </w:r>
            <w:bookmarkEnd w:id="9"/>
            <w:r>
              <w:rPr>
                <w:rStyle w:val="2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 w:bidi="ar"/>
              </w:rPr>
              <w:t>干废碎面（经过油炸）；②</w:t>
            </w:r>
            <w:r>
              <w:rPr>
                <w:rStyle w:val="25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 w:bidi="ar"/>
              </w:rPr>
              <w:t>拆解报废的成品方便面；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湿米面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元/吨</w:t>
            </w:r>
          </w:p>
        </w:tc>
        <w:tc>
          <w:tcPr>
            <w:tcW w:w="7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①方便面生产过程中产生的湿废碎面（未经过油炸）或油炸过程中的产生的焦糊面；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24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10" w:name="OLE_LINK11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落地料</w:t>
            </w:r>
            <w:bookmarkEnd w:id="10"/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元/吨</w:t>
            </w:r>
          </w:p>
        </w:tc>
        <w:tc>
          <w:tcPr>
            <w:tcW w:w="7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24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 w:bidi="ar"/>
              </w:rPr>
              <w:t>①散落在地上或报废的面粉；②散落在地上或者报废的脱水蔬菜；③</w:t>
            </w:r>
            <w:r>
              <w:rPr>
                <w:rStyle w:val="25"/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 w:bidi="ar"/>
              </w:rPr>
              <w:t>前述类别均为干粉状态，不含废塑料、棉绳之类的杂物；</w:t>
            </w:r>
          </w:p>
        </w:tc>
      </w:tr>
      <w:bookmarkEnd w:id="8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2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11" w:name="OLE_LINK12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废辣椒渣</w:t>
            </w:r>
            <w:bookmarkEnd w:id="11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元/吨</w:t>
            </w:r>
          </w:p>
        </w:tc>
        <w:tc>
          <w:tcPr>
            <w:tcW w:w="7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方面便生产过程中产生的废辣椒渣、蒜渣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0" w:leftChars="200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保证金缴纳：投标保证金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万元；履约保证金依中标金额5%缴纳（上限10万元），具体以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说明书为准。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eastAsia="zh-CN"/>
        </w:rPr>
      </w:pPr>
      <w:bookmarkStart w:id="12" w:name="OLE_LINK21"/>
      <w:bookmarkStart w:id="13" w:name="OLE_LINK22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2.1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有效的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营业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执照且：</w:t>
      </w:r>
    </w:p>
    <w:bookmarkEnd w:id="12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A：加工企业：饲料加工/生产相关的经营范围，且具备饲料生产许可证，同时具备饲料加工/生产相关的经营范围年限≥1年；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B：养殖企业：禽畜养殖相关的经营范围，且具备禽畜养殖相关的经营范围年限≥1年；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C：回收企业：与上述加工企业/养殖企业签订供货协议书；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 xml:space="preserve">具备上述三项条件之一即可报名参与竞标。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2.2公司成立时间在1年以上（含）。</w:t>
      </w:r>
    </w:p>
    <w:bookmarkEnd w:id="2"/>
    <w:bookmarkEnd w:id="13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3、报</w:t>
      </w:r>
      <w:bookmarkStart w:id="14" w:name="OLE_LINK20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名方</w:t>
      </w:r>
      <w:bookmarkEnd w:id="14"/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</w:pPr>
      <w:bookmarkStart w:id="22" w:name="_GoBack"/>
      <w:r>
        <w:rPr>
          <w:rFonts w:hint="eastAsia" w:ascii="微软雅黑" w:hAnsi="微软雅黑" w:eastAsia="微软雅黑" w:cs="微软雅黑"/>
          <w:b/>
          <w:bCs/>
          <w:kern w:val="0"/>
          <w:sz w:val="21"/>
          <w:szCs w:val="21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1"/>
          <w:szCs w:val="21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19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  <w:highlight w:val="yellow"/>
        </w:rPr>
        <w:t>日17时止；</w:t>
      </w:r>
    </w:p>
    <w:bookmarkEnd w:id="22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1"/>
          <w:szCs w:val="21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1"/>
          <w:szCs w:val="21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1"/>
          <w:szCs w:val="21"/>
        </w:rPr>
        <w:t>。</w:t>
      </w: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 w:val="0"/>
          <w:bCs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</w:t>
      </w:r>
      <w:bookmarkStart w:id="15" w:name="OLE_LINK3"/>
      <w:r>
        <w:rPr>
          <w:rFonts w:hint="eastAsia" w:ascii="宋体" w:hAnsi="宋体"/>
          <w:bCs/>
          <w:sz w:val="20"/>
          <w:szCs w:val="24"/>
        </w:rPr>
        <w:t>进项</w:t>
      </w:r>
      <w:bookmarkEnd w:id="15"/>
      <w:r>
        <w:rPr>
          <w:rFonts w:hint="eastAsia" w:ascii="宋体" w:hAnsi="宋体"/>
          <w:bCs/>
          <w:sz w:val="20"/>
          <w:szCs w:val="24"/>
        </w:rPr>
        <w:t>目：</w:t>
      </w:r>
      <w:bookmarkStart w:id="16" w:name="OLE_LINK9"/>
      <w:r>
        <w:rPr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 w:val="0"/>
          <w:bCs/>
          <w:sz w:val="20"/>
          <w:szCs w:val="24"/>
          <w:u w:val="single"/>
          <w:lang w:val="en-US" w:eastAsia="zh-CN"/>
        </w:rPr>
        <w:t>河南</w:t>
      </w:r>
      <w:r>
        <w:rPr>
          <w:rFonts w:hint="eastAsia" w:ascii="宋体" w:hAnsi="宋体"/>
          <w:b w:val="0"/>
          <w:bCs/>
          <w:sz w:val="20"/>
          <w:szCs w:val="24"/>
          <w:u w:val="single"/>
        </w:rPr>
        <w:t>统一</w:t>
      </w:r>
      <w:bookmarkStart w:id="17" w:name="OLE_LINK4"/>
      <w:r>
        <w:rPr>
          <w:rFonts w:hint="eastAsia" w:ascii="宋体" w:hAnsi="宋体"/>
          <w:b w:val="0"/>
          <w:bCs/>
          <w:sz w:val="20"/>
          <w:szCs w:val="24"/>
          <w:u w:val="single"/>
        </w:rPr>
        <w:t>20</w:t>
      </w:r>
      <w:bookmarkEnd w:id="17"/>
      <w:r>
        <w:rPr>
          <w:rFonts w:hint="eastAsia" w:ascii="宋体" w:hAnsi="宋体"/>
          <w:b w:val="0"/>
          <w:bCs/>
          <w:sz w:val="20"/>
          <w:szCs w:val="24"/>
          <w:u w:val="single"/>
          <w:lang w:val="en-US" w:eastAsia="zh-CN"/>
        </w:rPr>
        <w:t>24-2025</w:t>
      </w:r>
      <w:r>
        <w:rPr>
          <w:rFonts w:hint="eastAsia" w:ascii="宋体" w:hAnsi="宋体"/>
          <w:b w:val="0"/>
          <w:bCs/>
          <w:sz w:val="20"/>
          <w:szCs w:val="24"/>
          <w:u w:val="single"/>
        </w:rPr>
        <w:t>年度</w:t>
      </w:r>
      <w:bookmarkStart w:id="18" w:name="OLE_LINK5"/>
      <w:bookmarkStart w:id="19" w:name="OLE_LINK6"/>
      <w:r>
        <w:rPr>
          <w:rFonts w:hint="eastAsia" w:ascii="宋体" w:hAnsi="宋体"/>
          <w:b w:val="0"/>
          <w:bCs/>
          <w:sz w:val="20"/>
          <w:szCs w:val="24"/>
          <w:u w:val="single"/>
        </w:rPr>
        <w:t>废</w:t>
      </w:r>
      <w:bookmarkEnd w:id="18"/>
      <w:r>
        <w:rPr>
          <w:rFonts w:hint="eastAsia" w:ascii="宋体" w:hAnsi="宋体"/>
          <w:b w:val="0"/>
          <w:bCs/>
          <w:sz w:val="20"/>
          <w:szCs w:val="24"/>
          <w:u w:val="single"/>
        </w:rPr>
        <w:t>面</w:t>
      </w:r>
      <w:bookmarkEnd w:id="19"/>
      <w:r>
        <w:rPr>
          <w:rFonts w:hint="eastAsia" w:ascii="宋体" w:hAnsi="宋体"/>
          <w:b w:val="0"/>
          <w:bCs/>
          <w:sz w:val="20"/>
          <w:szCs w:val="24"/>
          <w:u w:val="single"/>
        </w:rPr>
        <w:t>类服务</w:t>
      </w:r>
      <w:r>
        <w:rPr>
          <w:rFonts w:hint="eastAsia" w:ascii="宋体" w:hAnsi="宋体"/>
          <w:b w:val="0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 w:val="0"/>
          <w:bCs/>
          <w:sz w:val="20"/>
          <w:szCs w:val="24"/>
          <w:u w:val="single"/>
        </w:rPr>
        <w:t xml:space="preserve">  </w:t>
      </w:r>
    </w:p>
    <w:bookmarkEnd w:id="16"/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  <w:lang w:val="en-US" w:eastAsia="zh-CN"/>
        </w:rPr>
        <w:t>河南</w:t>
      </w:r>
      <w:r>
        <w:rPr>
          <w:rFonts w:hint="eastAsia"/>
          <w:b/>
          <w:bCs/>
          <w:sz w:val="28"/>
          <w:u w:val="single"/>
        </w:rPr>
        <w:t>统一企业有</w:t>
      </w:r>
      <w:bookmarkStart w:id="20" w:name="OLE_LINK7"/>
      <w:r>
        <w:rPr>
          <w:rFonts w:hint="eastAsia"/>
          <w:b/>
          <w:bCs/>
          <w:sz w:val="28"/>
          <w:u w:val="single"/>
        </w:rPr>
        <w:t>限</w:t>
      </w:r>
      <w:bookmarkEnd w:id="20"/>
      <w:r>
        <w:rPr>
          <w:rFonts w:hint="eastAsia"/>
          <w:b/>
          <w:bCs/>
          <w:sz w:val="28"/>
          <w:u w:val="single"/>
        </w:rPr>
        <w:t>公司2024-2025年度废面</w:t>
      </w:r>
      <w:r>
        <w:rPr>
          <w:rFonts w:hint="eastAsia"/>
          <w:b/>
          <w:bCs/>
          <w:sz w:val="28"/>
          <w:u w:val="single"/>
          <w:lang w:val="en-US" w:eastAsia="zh-CN"/>
        </w:rPr>
        <w:t>类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bookmarkStart w:id="21" w:name="OLE_LINK8"/>
      <w:r>
        <w:rPr>
          <w:rFonts w:hint="eastAsia"/>
          <w:sz w:val="28"/>
        </w:rPr>
        <w:t>受</w:t>
      </w:r>
      <w:bookmarkEnd w:id="21"/>
      <w:r>
        <w:rPr>
          <w:rFonts w:hint="eastAsia"/>
          <w:sz w:val="28"/>
        </w:rPr>
        <w:t>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河南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2D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224F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18A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D45A6F"/>
    <w:rsid w:val="07B9787B"/>
    <w:rsid w:val="07C95455"/>
    <w:rsid w:val="081F3529"/>
    <w:rsid w:val="0E2C6D2A"/>
    <w:rsid w:val="0FDD7B92"/>
    <w:rsid w:val="1AD93696"/>
    <w:rsid w:val="2A3E3553"/>
    <w:rsid w:val="2BFD749A"/>
    <w:rsid w:val="2D0B6272"/>
    <w:rsid w:val="2DDB5A65"/>
    <w:rsid w:val="2F0C11B3"/>
    <w:rsid w:val="3349F8F3"/>
    <w:rsid w:val="33DD4BBE"/>
    <w:rsid w:val="3B15588C"/>
    <w:rsid w:val="4B6A52F9"/>
    <w:rsid w:val="5438153A"/>
    <w:rsid w:val="553304D8"/>
    <w:rsid w:val="600849ED"/>
    <w:rsid w:val="613F1997"/>
    <w:rsid w:val="77ABDA51"/>
    <w:rsid w:val="7FB8763B"/>
    <w:rsid w:val="D79F3BF3"/>
    <w:rsid w:val="DBEFF3C8"/>
    <w:rsid w:val="EB63A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0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1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semiHidden/>
    <w:unhideWhenUsed/>
    <w:qFormat/>
    <w:uiPriority w:val="0"/>
    <w:rPr>
      <w:rFonts w:ascii="微软雅黑" w:hAnsi="微软雅黑" w:eastAsia="微软雅黑" w:cs="微软雅黑"/>
      <w:color w:val="333333"/>
      <w:sz w:val="14"/>
      <w:szCs w:val="14"/>
      <w:u w:val="none"/>
    </w:rPr>
  </w:style>
  <w:style w:type="character" w:styleId="17">
    <w:name w:val="Hyperlink"/>
    <w:basedOn w:val="14"/>
    <w:qFormat/>
    <w:uiPriority w:val="0"/>
    <w:rPr>
      <w:color w:val="333333"/>
      <w:u w:val="none"/>
    </w:rPr>
  </w:style>
  <w:style w:type="character" w:styleId="18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1">
    <w:name w:val="批注主题 字符"/>
    <w:basedOn w:val="20"/>
    <w:link w:val="12"/>
    <w:semiHidden/>
    <w:qFormat/>
    <w:uiPriority w:val="0"/>
    <w:rPr>
      <w:b/>
      <w:bCs/>
      <w:kern w:val="2"/>
      <w:sz w:val="21"/>
    </w:rPr>
  </w:style>
  <w:style w:type="character" w:customStyle="1" w:styleId="22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3">
    <w:name w:val="页脚 字符"/>
    <w:basedOn w:val="14"/>
    <w:link w:val="8"/>
    <w:qFormat/>
    <w:uiPriority w:val="99"/>
    <w:rPr>
      <w:kern w:val="2"/>
      <w:sz w:val="18"/>
    </w:rPr>
  </w:style>
  <w:style w:type="character" w:customStyle="1" w:styleId="24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1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26">
    <w:name w:val="fontstyle01"/>
    <w:basedOn w:val="14"/>
    <w:qFormat/>
    <w:uiPriority w:val="0"/>
    <w:rPr>
      <w:rFonts w:ascii="宋体" w:hAnsi="宋体" w:eastAsia="宋体" w:cs="宋体"/>
      <w:color w:val="000000"/>
      <w:sz w:val="28"/>
      <w:szCs w:val="28"/>
    </w:rPr>
  </w:style>
  <w:style w:type="character" w:customStyle="1" w:styleId="27">
    <w:name w:val="hover16"/>
    <w:basedOn w:val="14"/>
    <w:qFormat/>
    <w:uiPriority w:val="0"/>
    <w:rPr>
      <w:color w:val="1A85D7"/>
    </w:rPr>
  </w:style>
  <w:style w:type="character" w:customStyle="1" w:styleId="28">
    <w:name w:val="hover17"/>
    <w:basedOn w:val="14"/>
    <w:qFormat/>
    <w:uiPriority w:val="0"/>
    <w:rPr>
      <w:b/>
      <w:bCs/>
      <w:color w:val="C85F10"/>
    </w:rPr>
  </w:style>
  <w:style w:type="character" w:customStyle="1" w:styleId="29">
    <w:name w:val="hover"/>
    <w:basedOn w:val="14"/>
    <w:qFormat/>
    <w:uiPriority w:val="0"/>
    <w:rPr>
      <w:b/>
      <w:bCs/>
      <w:color w:val="C85F10"/>
    </w:rPr>
  </w:style>
  <w:style w:type="character" w:customStyle="1" w:styleId="30">
    <w:name w:val="hover1"/>
    <w:basedOn w:val="14"/>
    <w:qFormat/>
    <w:uiPriority w:val="0"/>
    <w:rPr>
      <w:color w:val="1A85D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1</Pages>
  <Words>238</Words>
  <Characters>1361</Characters>
  <Lines>11</Lines>
  <Paragraphs>3</Paragraphs>
  <TotalTime>0</TotalTime>
  <ScaleCrop>false</ScaleCrop>
  <LinksUpToDate>false</LinksUpToDate>
  <CharactersWithSpaces>1596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2024-08-08T11:00:00Z</dcterms:created>
  <dc:creator>grdpec</dc:creator>
  <cp:keywords>标准</cp:keywords>
  <cp:lastModifiedBy>管明明明</cp:lastModifiedBy>
  <cp:lastPrinted>2017-11-15T01:02:00Z</cp:lastPrinted>
  <dcterms:modified xsi:type="dcterms:W3CDTF">2024-09-13T08:49:50Z</dcterms:modified>
  <dc:subject>昆山研究所标准书模板</dc:subject>
  <dc:title>stdbook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