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201E" w14:textId="77777777" w:rsidR="00CE39D2" w:rsidRDefault="001E212A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A04FF55" w14:textId="6C2B8053" w:rsidR="00CE39D2" w:rsidRDefault="00842D27">
      <w:pPr>
        <w:widowControl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42D2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针对统一集团全国子公司“</w:t>
      </w:r>
      <w:r w:rsidR="00804CA6" w:rsidRP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2024-2025年全国片碱统购项目</w:t>
      </w:r>
      <w:r w:rsidRPr="00842D2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”招标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，公开征集符合如下要求的服务商伙伴：</w:t>
      </w:r>
    </w:p>
    <w:p w14:paraId="4CC43107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D99A885" w14:textId="2B16DD88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 w:rsidR="00842D27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合同有效期一年，以实际</w:t>
      </w:r>
      <w:r w:rsidR="00842D27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签订</w:t>
      </w:r>
      <w:r w:rsidR="00842D27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为准</w:t>
      </w:r>
    </w:p>
    <w:p w14:paraId="2AE2BB07" w14:textId="5FAC2648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842D27" w:rsidRPr="004B1B5D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统一各子公司</w:t>
      </w:r>
      <w:r w:rsidR="007A0E04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地址</w:t>
      </w:r>
      <w:r w:rsidR="00842D27" w:rsidRPr="004B1B5D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（具体详见附件三）</w:t>
      </w:r>
    </w:p>
    <w:p w14:paraId="572DC4AC" w14:textId="2CA82843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保证统一企业</w:t>
      </w:r>
      <w:r w:rsidR="00804CA6" w:rsidRP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全国片碱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需求供应</w:t>
      </w:r>
    </w:p>
    <w:p w14:paraId="77117B26" w14:textId="77777777" w:rsidR="00842D27" w:rsidRPr="004B1B5D" w:rsidRDefault="001E212A" w:rsidP="00842D2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439A8DAA" w14:textId="0928AC8B" w:rsidR="00842D27" w:rsidRPr="004B1B5D" w:rsidRDefault="004B1B5D" w:rsidP="00842D2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①</w:t>
      </w:r>
      <w:r w:rsidR="00842D27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规格：氢氧化钠质量分数（固体）≥98%，25公斤/袋；(未明事项依《GBT 209-2018 工业用氢氧化钠》执行；</w:t>
      </w:r>
    </w:p>
    <w:p w14:paraId="0B85A7BB" w14:textId="70D8ED10" w:rsidR="00842D27" w:rsidRPr="004B1B5D" w:rsidRDefault="004B1B5D" w:rsidP="004B1B5D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②</w:t>
      </w:r>
      <w:r w:rsidR="00842D27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到厂验收： 包装标志</w:t>
      </w:r>
    </w:p>
    <w:p w14:paraId="21805B7F" w14:textId="77777777" w:rsidR="00842D27" w:rsidRPr="004B1B5D" w:rsidRDefault="00842D27" w:rsidP="00842D2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a.固体包装完好，标志清晰，内容包括：生产企业名称、地址、产品名称、执行标准号、型号规格、生产日期或批号、净质量和生产许可证编号、“腐蚀性物品”和“怕雨”标志</w:t>
      </w:r>
    </w:p>
    <w:p w14:paraId="11DEDF1E" w14:textId="5442D135" w:rsidR="00CE39D2" w:rsidRPr="004B1B5D" w:rsidRDefault="00842D27" w:rsidP="00842D2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b. 出厂检验报告：批号或生产日期一致，检验项目与执行标准要求一致。</w:t>
      </w:r>
    </w:p>
    <w:p w14:paraId="2E223334" w14:textId="3C460DE0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4B1B5D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 w:rsidR="004B1B5D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7113194B" w14:textId="77777777" w:rsidR="00CE39D2" w:rsidRDefault="001E212A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04BE566C" w14:textId="110A3660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</w:t>
      </w:r>
      <w:r w:rsidR="007A0E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7A0E04" w:rsidRPr="007A0E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“危险化学品经营许可证”，许可经营范围符合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15063099" w14:textId="02F06E15" w:rsidR="00CE39D2" w:rsidRDefault="001E212A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804CA6" w:rsidRPr="00804CA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依我司需求按期、按量分批到货之供应商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9831C60" w14:textId="4EE7F15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万人民币，且可以开具增值税发票；</w:t>
      </w:r>
    </w:p>
    <w:p w14:paraId="25E44A98" w14:textId="3CBEA486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D、公司成立时间在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420E7A24" w14:textId="77777777" w:rsidR="00CE39D2" w:rsidRDefault="001E212A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40709783" w14:textId="77777777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316EC3F0" w14:textId="77777777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bookmarkStart w:id="0" w:name="_Hlk165185823"/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015FAEC6" w14:textId="77777777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4EC09A93" w14:textId="77777777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4DF6DF88" w14:textId="36A00E06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2024年6月14日08时至2024年6月20日17时止</w:t>
      </w:r>
    </w:p>
    <w:bookmarkEnd w:id="0"/>
    <w:p w14:paraId="68B33406" w14:textId="77777777" w:rsidR="00CE39D2" w:rsidRPr="001F53A0" w:rsidRDefault="001E212A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3DDFB255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9C92CC9" w14:textId="274D3D6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5C806EB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25BE2E6E" w14:textId="77777777" w:rsidR="00CE39D2" w:rsidRDefault="001E212A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C07E943" w14:textId="675443FD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65CF52DF" w14:textId="4D0B7E91" w:rsidR="00CE39D2" w:rsidRDefault="001E212A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4435751A" w14:textId="77777777" w:rsidR="00804CA6" w:rsidRDefault="00804CA6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5DAB2EEB" w14:textId="77777777" w:rsidR="00CE39D2" w:rsidRDefault="001E212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服务商 报名表 </w:t>
      </w:r>
    </w:p>
    <w:p w14:paraId="0B33DB85" w14:textId="788A71CD" w:rsidR="00CE39D2" w:rsidRDefault="001E212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="00804CA6" w:rsidRPr="00804CA6">
        <w:rPr>
          <w:rFonts w:ascii="宋体" w:hAnsi="宋体" w:hint="eastAsia"/>
          <w:bCs/>
          <w:sz w:val="20"/>
          <w:szCs w:val="24"/>
          <w:u w:val="single"/>
        </w:rPr>
        <w:t>统一企业2024-2025年全国片碱统购项目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E39D2" w14:paraId="4762ECA4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F79313D" w14:textId="77777777" w:rsidR="00CE39D2" w:rsidRDefault="001E212A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27C2C66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91D369B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30C4A8C8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38BDDA5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C693A6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6413CF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CDE0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82E1F07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DFDC83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BF1E8E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814A1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0D03987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60B01F8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BF74A96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08F53D7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343406A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B933B0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F574A4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CA698E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A40308C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98B117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A4CA06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B1C0D1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63EFD5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33D7947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72A921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32961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AB4596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A0766F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067B2A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3EBD6A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2F55D41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0F98546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906289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4EE88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A3ADF6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BDBD861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EA7D75" w14:textId="77777777" w:rsidR="00CE39D2" w:rsidRDefault="001E21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3D0B25F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C08EA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05E81BC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FBB77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4656DE9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47D4F4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32E067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DA5F6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5D5AFBE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5FAB0BC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48427EE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67EC46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0CE01DB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A0C81E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B1E4D8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CDFA73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1513999E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4922E5B" w14:textId="77777777" w:rsidR="00CE39D2" w:rsidRDefault="001E212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070936F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78DAC3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115A78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6C9D50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7FED46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62718E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4F2690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B4CE1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D54502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693E0A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1E438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E1087B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B33B89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A3C964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15CED9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BF8FB45" w14:textId="77777777" w:rsidR="00CE39D2" w:rsidRDefault="001E212A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09CC5ABD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3ABEBD24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426AE6A5" w14:textId="77777777" w:rsidR="00CE39D2" w:rsidRDefault="001E212A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1A1F163E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5A51B3F" w14:textId="627B077C" w:rsidR="00CE39D2" w:rsidRDefault="001E212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 w:rsidRPr="00855878">
        <w:rPr>
          <w:rFonts w:hint="eastAsia"/>
          <w:sz w:val="28"/>
        </w:rPr>
        <w:t>身份证号</w:t>
      </w:r>
      <w:r w:rsidR="001C4F14" w:rsidRPr="00855878">
        <w:rPr>
          <w:rFonts w:hint="eastAsia"/>
          <w:b/>
          <w:bCs/>
          <w:sz w:val="28"/>
          <w:u w:val="single"/>
        </w:rPr>
        <w:t>码</w:t>
      </w:r>
      <w:r w:rsidRPr="00855878">
        <w:rPr>
          <w:rFonts w:hint="eastAsia"/>
          <w:sz w:val="28"/>
        </w:rPr>
        <w:t>：</w:t>
      </w:r>
    </w:p>
    <w:p w14:paraId="1A1307BF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71CE547" w14:textId="77777777" w:rsidR="00CE39D2" w:rsidRDefault="001E212A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5A94CC27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968DB92" w14:textId="77777777" w:rsidR="00CE39D2" w:rsidRDefault="001E212A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66BC3CFD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5E7CA4A7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6EC58656" w14:textId="00E12197" w:rsidR="00CE39D2" w:rsidRDefault="001E212A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804CA6">
        <w:rPr>
          <w:rFonts w:hint="eastAsia"/>
          <w:b/>
          <w:sz w:val="28"/>
          <w:szCs w:val="28"/>
        </w:rPr>
        <w:t xml:space="preserve"> </w:t>
      </w:r>
      <w:r w:rsidR="00804CA6" w:rsidRPr="00804CA6">
        <w:rPr>
          <w:rFonts w:hint="eastAsia"/>
          <w:b/>
          <w:sz w:val="28"/>
          <w:u w:val="single"/>
        </w:rPr>
        <w:t>统一企业</w:t>
      </w:r>
      <w:r w:rsidR="00804CA6" w:rsidRPr="00804CA6">
        <w:rPr>
          <w:rFonts w:hint="eastAsia"/>
          <w:b/>
          <w:sz w:val="28"/>
          <w:u w:val="single"/>
        </w:rPr>
        <w:t>2024-2025</w:t>
      </w:r>
      <w:r w:rsidR="00804CA6" w:rsidRPr="00804CA6">
        <w:rPr>
          <w:rFonts w:hint="eastAsia"/>
          <w:b/>
          <w:sz w:val="28"/>
          <w:u w:val="single"/>
        </w:rPr>
        <w:t>年全国片碱统购项目</w:t>
      </w:r>
      <w:r w:rsidR="00804CA6" w:rsidRPr="00804CA6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2ABF921F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25572ED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326A265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C30F4A7" w14:textId="3749E326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Pr="00804CA6">
        <w:rPr>
          <w:rFonts w:hint="eastAsia"/>
          <w:sz w:val="28"/>
          <w:u w:val="single"/>
        </w:rPr>
        <w:t>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6D267D29" w14:textId="77777777" w:rsidR="00CE39D2" w:rsidRDefault="00CE39D2">
      <w:pPr>
        <w:ind w:firstLine="570"/>
        <w:rPr>
          <w:sz w:val="28"/>
        </w:rPr>
      </w:pPr>
    </w:p>
    <w:p w14:paraId="789C8D92" w14:textId="77777777" w:rsidR="00CE39D2" w:rsidRDefault="00CE39D2">
      <w:pPr>
        <w:ind w:firstLine="570"/>
        <w:rPr>
          <w:sz w:val="28"/>
        </w:rPr>
      </w:pPr>
    </w:p>
    <w:p w14:paraId="28F007A9" w14:textId="77777777" w:rsidR="00CE39D2" w:rsidRDefault="001E212A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B62AE58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3C7388A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CD0E66A" w14:textId="77777777" w:rsidR="00CE39D2" w:rsidRDefault="00CE39D2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352EF55C" w14:textId="77777777" w:rsidR="00842D27" w:rsidRDefault="00842D27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055D5743" w14:textId="77777777" w:rsidR="00804CA6" w:rsidRDefault="00804CA6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5B5FF754" w14:textId="77777777" w:rsidR="00804CA6" w:rsidRDefault="00804CA6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1D389660" w14:textId="77777777" w:rsidR="00804CA6" w:rsidRDefault="00804CA6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1ED94A68" w14:textId="77777777" w:rsidR="00804CA6" w:rsidRDefault="00804CA6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06024004" w14:textId="77777777" w:rsidR="00804CA6" w:rsidRDefault="00804CA6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0ADB266B" w14:textId="77777777" w:rsidR="00804CA6" w:rsidRDefault="00804CA6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6520D807" w14:textId="77777777" w:rsidR="00804CA6" w:rsidRDefault="00804CA6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4DE10386" w14:textId="77777777" w:rsidR="00804CA6" w:rsidRDefault="00804CA6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5A92B965" w14:textId="77777777" w:rsidR="00804CA6" w:rsidRDefault="00804CA6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697B2669" w14:textId="4DC58B97" w:rsidR="00842D27" w:rsidRDefault="00842D27" w:rsidP="00842D27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附件三</w:t>
      </w:r>
    </w:p>
    <w:p w14:paraId="347D67A8" w14:textId="77777777" w:rsidR="00842D27" w:rsidRDefault="00842D27" w:rsidP="00842D2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全国统一子公司送货地址</w:t>
      </w:r>
    </w:p>
    <w:p w14:paraId="49FE65E2" w14:textId="77777777" w:rsidR="00842D27" w:rsidRPr="00165F25" w:rsidRDefault="00842D27" w:rsidP="00842D27">
      <w:pPr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3F975E60" wp14:editId="2D0C6976">
            <wp:extent cx="6645910" cy="7404100"/>
            <wp:effectExtent l="0" t="0" r="0" b="0"/>
            <wp:docPr id="6801292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292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/>
      </w:r>
      <w:r w:rsidRPr="00165F25">
        <w:rPr>
          <w:rFonts w:hint="eastAsia"/>
          <w:b/>
          <w:bCs/>
          <w:sz w:val="36"/>
          <w:szCs w:val="36"/>
        </w:rPr>
        <w:t>注：片碱卸货至各厂指定化学品库</w:t>
      </w:r>
    </w:p>
    <w:p w14:paraId="1DDE0539" w14:textId="77777777" w:rsidR="00842D27" w:rsidRPr="00842D27" w:rsidRDefault="00842D27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842D27" w:rsidRPr="00842D27">
      <w:headerReference w:type="default" r:id="rId7"/>
      <w:footerReference w:type="default" r:id="rId8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602FE" w14:textId="77777777" w:rsidR="00F23C1B" w:rsidRDefault="00F23C1B">
      <w:r>
        <w:separator/>
      </w:r>
    </w:p>
  </w:endnote>
  <w:endnote w:type="continuationSeparator" w:id="0">
    <w:p w14:paraId="0FA425D7" w14:textId="77777777" w:rsidR="00F23C1B" w:rsidRDefault="00F2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0CFF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00E56" w14:textId="77777777" w:rsidR="00F23C1B" w:rsidRDefault="00F23C1B">
      <w:r>
        <w:separator/>
      </w:r>
    </w:p>
  </w:footnote>
  <w:footnote w:type="continuationSeparator" w:id="0">
    <w:p w14:paraId="6A758884" w14:textId="77777777" w:rsidR="00F23C1B" w:rsidRDefault="00F2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166B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1B8A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5DA4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70E3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A9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1B5D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08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0E04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4CA6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2D27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878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4B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44B2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119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34C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5823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3396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A1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C1B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132BC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  <w:style w:type="character" w:styleId="af5">
    <w:name w:val="Strong"/>
    <w:basedOn w:val="a0"/>
    <w:autoRedefine/>
    <w:uiPriority w:val="22"/>
    <w:qFormat/>
    <w:rsid w:val="00842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278</Words>
  <Characters>1590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34</cp:revision>
  <cp:lastPrinted>2017-11-14T17:02:00Z</cp:lastPrinted>
  <dcterms:created xsi:type="dcterms:W3CDTF">2022-06-02T22:35:00Z</dcterms:created>
  <dcterms:modified xsi:type="dcterms:W3CDTF">2024-06-11T08:47:00Z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